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ECE32" w14:textId="00409403" w:rsidR="00D303F9" w:rsidRPr="00F539E5" w:rsidRDefault="00D303F9" w:rsidP="00D303F9">
      <w:pPr>
        <w:jc w:val="center"/>
        <w:rPr>
          <w:b/>
          <w:color w:val="00487D"/>
          <w:sz w:val="48"/>
          <w:szCs w:val="48"/>
        </w:rPr>
      </w:pPr>
    </w:p>
    <w:p w14:paraId="3559173A" w14:textId="77777777" w:rsidR="00D303F9" w:rsidRDefault="00D303F9" w:rsidP="00D303F9">
      <w:pPr>
        <w:jc w:val="center"/>
        <w:rPr>
          <w:b/>
          <w:color w:val="00487D"/>
          <w:sz w:val="48"/>
          <w:szCs w:val="48"/>
        </w:rPr>
        <w:sectPr w:rsidR="00D303F9" w:rsidSect="00D303F9">
          <w:footerReference w:type="first" r:id="rId9"/>
          <w:pgSz w:w="12240" w:h="15840"/>
          <w:pgMar w:top="1440" w:right="1080" w:bottom="1440" w:left="1080" w:header="709" w:footer="709" w:gutter="0"/>
          <w:pgNumType w:start="1"/>
          <w:cols w:space="708"/>
          <w:docGrid w:linePitch="360"/>
        </w:sectPr>
      </w:pPr>
    </w:p>
    <w:p w14:paraId="60BA1110" w14:textId="568C82FF" w:rsidR="0025206F" w:rsidRPr="00F539E5" w:rsidRDefault="0025206F" w:rsidP="0025206F">
      <w:pPr>
        <w:rPr>
          <w:b/>
          <w:color w:val="00487D"/>
          <w:sz w:val="48"/>
          <w:szCs w:val="48"/>
        </w:rPr>
      </w:pPr>
      <w:r>
        <w:rPr>
          <w:b/>
          <w:noProof/>
          <w:color w:val="00487D"/>
          <w:sz w:val="48"/>
          <w:szCs w:val="48"/>
          <w:lang w:eastAsia="fr-CA"/>
        </w:rPr>
        <w:lastRenderedPageBreak/>
        <w:drawing>
          <wp:inline distT="0" distB="0" distL="0" distR="0" wp14:anchorId="678A460E" wp14:editId="3E078405">
            <wp:extent cx="6400800" cy="4763135"/>
            <wp:effectExtent l="0" t="0" r="0" b="1206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port2.jpg"/>
                    <pic:cNvPicPr/>
                  </pic:nvPicPr>
                  <pic:blipFill>
                    <a:blip r:embed="rId10">
                      <a:extLst>
                        <a:ext uri="{28A0092B-C50C-407E-A947-70E740481C1C}">
                          <a14:useLocalDpi xmlns:a14="http://schemas.microsoft.com/office/drawing/2010/main" val="0"/>
                        </a:ext>
                      </a:extLst>
                    </a:blip>
                    <a:stretch>
                      <a:fillRect/>
                    </a:stretch>
                  </pic:blipFill>
                  <pic:spPr>
                    <a:xfrm>
                      <a:off x="0" y="0"/>
                      <a:ext cx="6400800" cy="4763135"/>
                    </a:xfrm>
                    <a:prstGeom prst="rect">
                      <a:avLst/>
                    </a:prstGeom>
                  </pic:spPr>
                </pic:pic>
              </a:graphicData>
            </a:graphic>
          </wp:inline>
        </w:drawing>
      </w:r>
    </w:p>
    <w:p w14:paraId="5F806A61" w14:textId="38EAE11E" w:rsidR="00D303F9" w:rsidRPr="00F539E5" w:rsidRDefault="009F7E71" w:rsidP="00D303F9">
      <w:pPr>
        <w:jc w:val="center"/>
        <w:rPr>
          <w:b/>
          <w:color w:val="00487D"/>
          <w:sz w:val="52"/>
          <w:szCs w:val="52"/>
        </w:rPr>
      </w:pPr>
      <w:r>
        <w:rPr>
          <w:b/>
          <w:color w:val="00487D"/>
          <w:sz w:val="52"/>
          <w:szCs w:val="52"/>
        </w:rPr>
        <w:t>RAPPORT D’ACTIVITÉ</w:t>
      </w:r>
      <w:r w:rsidR="004B578C">
        <w:rPr>
          <w:b/>
          <w:color w:val="00487D"/>
          <w:sz w:val="52"/>
          <w:szCs w:val="52"/>
        </w:rPr>
        <w:t xml:space="preserve"> 201</w:t>
      </w:r>
      <w:r w:rsidR="0020090D">
        <w:rPr>
          <w:b/>
          <w:color w:val="00487D"/>
          <w:sz w:val="52"/>
          <w:szCs w:val="52"/>
        </w:rPr>
        <w:t>5</w:t>
      </w:r>
      <w:r w:rsidR="004B578C">
        <w:rPr>
          <w:b/>
          <w:color w:val="00487D"/>
          <w:sz w:val="52"/>
          <w:szCs w:val="52"/>
        </w:rPr>
        <w:t>-201</w:t>
      </w:r>
      <w:r w:rsidR="0020090D">
        <w:rPr>
          <w:b/>
          <w:color w:val="00487D"/>
          <w:sz w:val="52"/>
          <w:szCs w:val="52"/>
        </w:rPr>
        <w:t>6</w:t>
      </w:r>
    </w:p>
    <w:p w14:paraId="444DA569" w14:textId="77777777" w:rsidR="00D303F9" w:rsidRPr="00F539E5" w:rsidRDefault="00D303F9" w:rsidP="0025206F"/>
    <w:p w14:paraId="3F359D58" w14:textId="77777777" w:rsidR="00D303F9" w:rsidRDefault="00D303F9" w:rsidP="0025206F"/>
    <w:p w14:paraId="3509B92F" w14:textId="77777777" w:rsidR="0025206F" w:rsidRDefault="0025206F" w:rsidP="0025206F"/>
    <w:p w14:paraId="51120409" w14:textId="77777777" w:rsidR="0025206F" w:rsidRDefault="0025206F" w:rsidP="0025206F"/>
    <w:p w14:paraId="7971DF86" w14:textId="77777777" w:rsidR="0025206F" w:rsidRPr="00F539E5" w:rsidRDefault="0025206F" w:rsidP="0025206F"/>
    <w:tbl>
      <w:tblPr>
        <w:tblStyle w:val="Grilledutableau"/>
        <w:tblW w:w="10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143"/>
      </w:tblGrid>
      <w:tr w:rsidR="00D303F9" w:rsidRPr="00F539E5" w14:paraId="4CA6F5E5" w14:textId="77777777" w:rsidTr="00D303F9">
        <w:tc>
          <w:tcPr>
            <w:tcW w:w="4077" w:type="dxa"/>
            <w:vAlign w:val="center"/>
          </w:tcPr>
          <w:p w14:paraId="06E206D3" w14:textId="77777777" w:rsidR="00D303F9" w:rsidRPr="00F539E5" w:rsidRDefault="00D303F9" w:rsidP="00F6008B">
            <w:pPr>
              <w:jc w:val="right"/>
            </w:pPr>
            <w:r w:rsidRPr="00F539E5">
              <w:rPr>
                <w:noProof/>
                <w:lang w:eastAsia="fr-CA"/>
              </w:rPr>
              <w:drawing>
                <wp:inline distT="0" distB="0" distL="0" distR="0" wp14:anchorId="6FFA425B" wp14:editId="6ED0A20E">
                  <wp:extent cx="1683786" cy="432000"/>
                  <wp:effectExtent l="0" t="0" r="0" b="6350"/>
                  <wp:docPr id="7" name="Image 7" descr="C:\Users\lepagena\AppData\Local\Microsoft\Windows\Temporary Internet Files\Content.Outlook\XJJ524YN\logo-f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pagena\AppData\Local\Microsoft\Windows\Temporary Internet Files\Content.Outlook\XJJ524YN\logo-fa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86" cy="432000"/>
                          </a:xfrm>
                          <a:prstGeom prst="rect">
                            <a:avLst/>
                          </a:prstGeom>
                          <a:noFill/>
                          <a:ln>
                            <a:noFill/>
                          </a:ln>
                        </pic:spPr>
                      </pic:pic>
                    </a:graphicData>
                  </a:graphic>
                </wp:inline>
              </w:drawing>
            </w:r>
          </w:p>
        </w:tc>
        <w:tc>
          <w:tcPr>
            <w:tcW w:w="6143" w:type="dxa"/>
            <w:vAlign w:val="center"/>
          </w:tcPr>
          <w:p w14:paraId="282C7591" w14:textId="77777777" w:rsidR="00D303F9" w:rsidRPr="00F539E5" w:rsidRDefault="00D303F9" w:rsidP="00F6008B">
            <w:pPr>
              <w:jc w:val="center"/>
            </w:pPr>
          </w:p>
        </w:tc>
      </w:tr>
    </w:tbl>
    <w:p w14:paraId="3C343133" w14:textId="77777777" w:rsidR="00D303F9" w:rsidRDefault="00D303F9">
      <w:pPr>
        <w:rPr>
          <w:b/>
          <w:color w:val="00487D"/>
        </w:rPr>
        <w:sectPr w:rsidR="00D303F9" w:rsidSect="00D303F9">
          <w:headerReference w:type="first" r:id="rId12"/>
          <w:type w:val="continuous"/>
          <w:pgSz w:w="12240" w:h="15840"/>
          <w:pgMar w:top="1440" w:right="1080" w:bottom="1440" w:left="1080" w:header="709" w:footer="709" w:gutter="0"/>
          <w:pgNumType w:start="1"/>
          <w:cols w:space="708"/>
          <w:titlePg/>
          <w:docGrid w:linePitch="360"/>
        </w:sectPr>
      </w:pPr>
    </w:p>
    <w:p w14:paraId="395057A8" w14:textId="77777777" w:rsidR="00D303F9" w:rsidRDefault="00D303F9" w:rsidP="00D303F9">
      <w:pPr>
        <w:jc w:val="both"/>
        <w:rPr>
          <w:b/>
          <w:color w:val="00487D"/>
        </w:rPr>
      </w:pPr>
    </w:p>
    <w:p w14:paraId="5A3F919C" w14:textId="77777777" w:rsidR="00D303F9" w:rsidRDefault="00D303F9" w:rsidP="00D303F9">
      <w:pPr>
        <w:jc w:val="both"/>
        <w:rPr>
          <w:b/>
          <w:color w:val="00487D"/>
        </w:rPr>
        <w:sectPr w:rsidR="00D303F9" w:rsidSect="00D303F9">
          <w:headerReference w:type="default" r:id="rId13"/>
          <w:type w:val="continuous"/>
          <w:pgSz w:w="12240" w:h="15840"/>
          <w:pgMar w:top="1440" w:right="1080" w:bottom="1440" w:left="1080" w:header="709" w:footer="709" w:gutter="0"/>
          <w:pgNumType w:start="1"/>
          <w:cols w:space="708"/>
          <w:titlePg/>
          <w:docGrid w:linePitch="360"/>
        </w:sectPr>
      </w:pPr>
    </w:p>
    <w:p w14:paraId="53C1F5BF" w14:textId="77777777" w:rsidR="00D303F9" w:rsidRPr="00F539E5" w:rsidRDefault="00D303F9" w:rsidP="00D303F9">
      <w:pPr>
        <w:jc w:val="both"/>
        <w:rPr>
          <w:b/>
          <w:color w:val="00487D"/>
        </w:rPr>
      </w:pPr>
      <w:r w:rsidRPr="00F539E5">
        <w:rPr>
          <w:b/>
          <w:color w:val="00487D"/>
        </w:rPr>
        <w:lastRenderedPageBreak/>
        <w:t>Mission</w:t>
      </w:r>
    </w:p>
    <w:p w14:paraId="52FD85B0" w14:textId="77777777" w:rsidR="00D303F9" w:rsidRPr="00F539E5" w:rsidRDefault="00D303F9" w:rsidP="00D303F9">
      <w:pPr>
        <w:jc w:val="both"/>
      </w:pPr>
      <w:r w:rsidRPr="00F539E5">
        <w:t xml:space="preserve">La mission du CÉRIUM est double : constituer un foyer intellectuel dynamique en études internationales à Montréal et promouvoir le rayonnement de l’Université de Montréal et de ses chercheurs dans les réseaux </w:t>
      </w:r>
      <w:r w:rsidRPr="00995731">
        <w:t>mondiaux. Cette mission peut être interprétée comme l’ambition de hisser l’Université de Montréal dans le peloton de tête des universités canadiennes et au premier rang de la Francophonie en études internationales.</w:t>
      </w:r>
      <w:r w:rsidRPr="00F539E5">
        <w:t xml:space="preserve"> </w:t>
      </w:r>
    </w:p>
    <w:p w14:paraId="62FEA0F4" w14:textId="77777777" w:rsidR="00D303F9" w:rsidRPr="00F539E5" w:rsidRDefault="00D303F9" w:rsidP="00D303F9">
      <w:pPr>
        <w:jc w:val="both"/>
        <w:rPr>
          <w:b/>
          <w:color w:val="00487D"/>
        </w:rPr>
      </w:pPr>
      <w:r w:rsidRPr="00F539E5">
        <w:rPr>
          <w:b/>
          <w:color w:val="00487D"/>
        </w:rPr>
        <w:t>Activités</w:t>
      </w:r>
    </w:p>
    <w:p w14:paraId="5D719FAF" w14:textId="2D020555" w:rsidR="00D303F9" w:rsidRPr="005A6D7D" w:rsidRDefault="00A7684A" w:rsidP="00D303F9">
      <w:pPr>
        <w:jc w:val="both"/>
        <w:rPr>
          <w:rFonts w:cs="Calibri"/>
        </w:rPr>
      </w:pPr>
      <w:r>
        <w:rPr>
          <w:rFonts w:cs="Calibri"/>
        </w:rPr>
        <w:t>Durant l’année académique 201</w:t>
      </w:r>
      <w:r w:rsidR="0020090D">
        <w:rPr>
          <w:rFonts w:cs="Calibri"/>
        </w:rPr>
        <w:t>5</w:t>
      </w:r>
      <w:r>
        <w:rPr>
          <w:rFonts w:cs="Calibri"/>
        </w:rPr>
        <w:t>-1</w:t>
      </w:r>
      <w:r w:rsidR="0020090D">
        <w:rPr>
          <w:rFonts w:cs="Calibri"/>
        </w:rPr>
        <w:t>6</w:t>
      </w:r>
      <w:r w:rsidR="00D303F9" w:rsidRPr="00F539E5">
        <w:rPr>
          <w:rFonts w:cs="Calibri"/>
        </w:rPr>
        <w:t xml:space="preserve">, le CÉRIUM a organisé, seul ou en collaboration, </w:t>
      </w:r>
      <w:r w:rsidR="000F3731">
        <w:rPr>
          <w:rFonts w:cs="Calibri"/>
        </w:rPr>
        <w:t>1</w:t>
      </w:r>
      <w:r w:rsidR="0020090D">
        <w:rPr>
          <w:rFonts w:cs="Calibri"/>
        </w:rPr>
        <w:t>0</w:t>
      </w:r>
      <w:r w:rsidR="00E90932">
        <w:rPr>
          <w:rFonts w:cs="Calibri"/>
        </w:rPr>
        <w:t>2</w:t>
      </w:r>
      <w:r w:rsidR="000F3731">
        <w:rPr>
          <w:rFonts w:cs="Calibri"/>
        </w:rPr>
        <w:t xml:space="preserve"> activités, </w:t>
      </w:r>
      <w:r w:rsidR="001E2868">
        <w:rPr>
          <w:rFonts w:cs="Calibri"/>
        </w:rPr>
        <w:t xml:space="preserve">incluant </w:t>
      </w:r>
      <w:r w:rsidR="00A46681">
        <w:rPr>
          <w:rFonts w:cs="Calibri"/>
        </w:rPr>
        <w:t>8</w:t>
      </w:r>
      <w:r w:rsidR="000F3731">
        <w:rPr>
          <w:rFonts w:cs="Calibri"/>
        </w:rPr>
        <w:t xml:space="preserve"> séminaires de recherche, </w:t>
      </w:r>
      <w:r w:rsidR="00A46681">
        <w:rPr>
          <w:rFonts w:cs="Calibri"/>
        </w:rPr>
        <w:t>7</w:t>
      </w:r>
      <w:r w:rsidR="00D303F9" w:rsidRPr="00F539E5">
        <w:rPr>
          <w:rFonts w:cs="Calibri"/>
        </w:rPr>
        <w:t xml:space="preserve"> cours de maître</w:t>
      </w:r>
      <w:r w:rsidR="00F6008B">
        <w:rPr>
          <w:rFonts w:cs="Calibri"/>
        </w:rPr>
        <w:t xml:space="preserve"> et </w:t>
      </w:r>
      <w:r w:rsidR="00B362FF">
        <w:rPr>
          <w:rFonts w:cs="Calibri"/>
        </w:rPr>
        <w:t>14</w:t>
      </w:r>
      <w:r w:rsidR="001E2868" w:rsidRPr="00F539E5">
        <w:rPr>
          <w:rFonts w:cs="Calibri"/>
        </w:rPr>
        <w:t xml:space="preserve"> </w:t>
      </w:r>
      <w:r w:rsidR="00D303F9" w:rsidRPr="00F539E5">
        <w:rPr>
          <w:rFonts w:cs="Calibri"/>
        </w:rPr>
        <w:t>colloques, dont un organisé par les étudiants</w:t>
      </w:r>
      <w:r w:rsidR="00F6008B">
        <w:rPr>
          <w:rFonts w:cs="Calibri"/>
        </w:rPr>
        <w:t xml:space="preserve"> pour la </w:t>
      </w:r>
      <w:r w:rsidR="00A46681">
        <w:rPr>
          <w:rFonts w:cs="Calibri"/>
        </w:rPr>
        <w:t xml:space="preserve">troisième </w:t>
      </w:r>
      <w:r w:rsidR="00F6008B">
        <w:rPr>
          <w:rFonts w:cs="Calibri"/>
        </w:rPr>
        <w:t>année consécutive</w:t>
      </w:r>
      <w:r w:rsidR="00D303F9" w:rsidRPr="00F539E5">
        <w:rPr>
          <w:rFonts w:cs="Calibri"/>
        </w:rPr>
        <w:t xml:space="preserve">. Les thèmes </w:t>
      </w:r>
      <w:r w:rsidR="001E2868">
        <w:rPr>
          <w:rFonts w:cs="Calibri"/>
        </w:rPr>
        <w:t>des colloques</w:t>
      </w:r>
      <w:r w:rsidR="001E2868" w:rsidRPr="00F539E5">
        <w:rPr>
          <w:rFonts w:cs="Calibri"/>
        </w:rPr>
        <w:t xml:space="preserve"> </w:t>
      </w:r>
      <w:r w:rsidR="00D303F9" w:rsidRPr="00995731">
        <w:rPr>
          <w:rFonts w:cs="Calibri"/>
        </w:rPr>
        <w:t xml:space="preserve">illustrent </w:t>
      </w:r>
      <w:r w:rsidR="001E2868" w:rsidRPr="00995731">
        <w:rPr>
          <w:rFonts w:cs="Calibri"/>
        </w:rPr>
        <w:t>la pertinence du</w:t>
      </w:r>
      <w:r w:rsidR="00D303F9" w:rsidRPr="00995731">
        <w:rPr>
          <w:rFonts w:cs="Calibri"/>
        </w:rPr>
        <w:t xml:space="preserve"> CÉRIUM</w:t>
      </w:r>
      <w:r w:rsidR="00ED169C" w:rsidRPr="00995731">
        <w:rPr>
          <w:rFonts w:cs="Calibri"/>
        </w:rPr>
        <w:t xml:space="preserve"> </w:t>
      </w:r>
      <w:r w:rsidR="001E2868" w:rsidRPr="00995731">
        <w:rPr>
          <w:rFonts w:cs="Calibri"/>
        </w:rPr>
        <w:t>dans le</w:t>
      </w:r>
      <w:r w:rsidR="00ED169C" w:rsidRPr="00995731">
        <w:rPr>
          <w:rFonts w:cs="Calibri"/>
        </w:rPr>
        <w:t xml:space="preserve"> monde actuel</w:t>
      </w:r>
      <w:r w:rsidR="007725EC">
        <w:rPr>
          <w:rFonts w:cs="Calibri"/>
        </w:rPr>
        <w:t xml:space="preserve">. </w:t>
      </w:r>
      <w:r w:rsidR="00F63C10">
        <w:rPr>
          <w:rFonts w:cs="Calibri"/>
        </w:rPr>
        <w:t>L</w:t>
      </w:r>
      <w:r w:rsidR="007725EC">
        <w:rPr>
          <w:rFonts w:cs="Calibri"/>
        </w:rPr>
        <w:t xml:space="preserve">es questions environnementales, l’islamophobie, les connexions transaméricaines, la politique étrangère du Canada ou encore les liens entre sécurité et développement ont été traités. </w:t>
      </w:r>
      <w:r w:rsidR="00D303F9" w:rsidRPr="00F539E5">
        <w:rPr>
          <w:rFonts w:cs="Calibri"/>
        </w:rPr>
        <w:t>Parmi les mom</w:t>
      </w:r>
      <w:r w:rsidR="000F3731">
        <w:rPr>
          <w:rFonts w:cs="Calibri"/>
        </w:rPr>
        <w:t>ents forts de l’année, notons</w:t>
      </w:r>
      <w:r w:rsidR="007725EC">
        <w:rPr>
          <w:rFonts w:cs="Calibri"/>
        </w:rPr>
        <w:t xml:space="preserve"> </w:t>
      </w:r>
      <w:r w:rsidR="00B362FF">
        <w:rPr>
          <w:rFonts w:cs="Calibri"/>
        </w:rPr>
        <w:t>la conférence de</w:t>
      </w:r>
      <w:r w:rsidR="00D303F9" w:rsidRPr="00F539E5">
        <w:rPr>
          <w:rFonts w:cs="Calibri"/>
        </w:rPr>
        <w:t xml:space="preserve"> </w:t>
      </w:r>
      <w:r w:rsidR="007725EC">
        <w:rPr>
          <w:rFonts w:cs="Calibri"/>
        </w:rPr>
        <w:t xml:space="preserve">Christiane </w:t>
      </w:r>
      <w:proofErr w:type="spellStart"/>
      <w:r w:rsidR="007725EC">
        <w:rPr>
          <w:rFonts w:cs="Calibri"/>
        </w:rPr>
        <w:t>Taubira</w:t>
      </w:r>
      <w:proofErr w:type="spellEnd"/>
      <w:r w:rsidR="00D303F9" w:rsidRPr="00F539E5">
        <w:rPr>
          <w:rFonts w:cs="Calibri"/>
        </w:rPr>
        <w:t xml:space="preserve"> ; </w:t>
      </w:r>
      <w:r w:rsidR="000F3731">
        <w:rPr>
          <w:rFonts w:cs="Calibri"/>
        </w:rPr>
        <w:t>le</w:t>
      </w:r>
      <w:r w:rsidR="00B362FF">
        <w:rPr>
          <w:rFonts w:cs="Calibri"/>
        </w:rPr>
        <w:t>s</w:t>
      </w:r>
      <w:r w:rsidR="000F3731">
        <w:rPr>
          <w:rFonts w:cs="Calibri"/>
        </w:rPr>
        <w:t xml:space="preserve"> séminaire</w:t>
      </w:r>
      <w:r w:rsidR="00B362FF">
        <w:rPr>
          <w:rFonts w:cs="Calibri"/>
        </w:rPr>
        <w:t>s</w:t>
      </w:r>
      <w:r w:rsidR="00D303F9" w:rsidRPr="00F539E5">
        <w:rPr>
          <w:rFonts w:cs="Calibri"/>
        </w:rPr>
        <w:t xml:space="preserve"> de </w:t>
      </w:r>
      <w:r w:rsidR="00B362FF">
        <w:rPr>
          <w:rFonts w:cs="Calibri"/>
        </w:rPr>
        <w:t xml:space="preserve">Stephen Walt (Harvard) et de Matthew Evangelista (Cornell) ; </w:t>
      </w:r>
      <w:r w:rsidR="00265B89">
        <w:rPr>
          <w:rFonts w:cs="Calibri"/>
        </w:rPr>
        <w:t xml:space="preserve">le cours de maître de </w:t>
      </w:r>
      <w:r w:rsidR="00B362FF">
        <w:rPr>
          <w:rFonts w:cs="Calibri"/>
        </w:rPr>
        <w:t xml:space="preserve">Kathleen </w:t>
      </w:r>
      <w:proofErr w:type="spellStart"/>
      <w:r w:rsidR="00B362FF">
        <w:rPr>
          <w:rFonts w:cs="Calibri"/>
        </w:rPr>
        <w:t>Thelen</w:t>
      </w:r>
      <w:proofErr w:type="spellEnd"/>
      <w:r w:rsidR="00B362FF">
        <w:rPr>
          <w:rFonts w:cs="Calibri"/>
        </w:rPr>
        <w:t xml:space="preserve"> (MIT</w:t>
      </w:r>
      <w:r w:rsidR="001E2868">
        <w:rPr>
          <w:rFonts w:cs="Calibri"/>
        </w:rPr>
        <w:t>)</w:t>
      </w:r>
      <w:r w:rsidR="00B362FF">
        <w:rPr>
          <w:rFonts w:cs="Calibri"/>
        </w:rPr>
        <w:t xml:space="preserve"> ; et</w:t>
      </w:r>
      <w:r w:rsidR="00D303F9" w:rsidRPr="00F539E5">
        <w:rPr>
          <w:rFonts w:cs="Calibri"/>
        </w:rPr>
        <w:t xml:space="preserve"> </w:t>
      </w:r>
      <w:r w:rsidR="00265B89">
        <w:rPr>
          <w:rFonts w:cs="Calibri"/>
        </w:rPr>
        <w:t xml:space="preserve">la </w:t>
      </w:r>
      <w:r w:rsidR="00B362FF">
        <w:rPr>
          <w:rFonts w:cs="Calibri"/>
        </w:rPr>
        <w:t xml:space="preserve">deuxième </w:t>
      </w:r>
      <w:r w:rsidR="00265B89">
        <w:rPr>
          <w:rFonts w:cs="Calibri"/>
        </w:rPr>
        <w:t xml:space="preserve">édition du </w:t>
      </w:r>
      <w:r w:rsidR="0082474B">
        <w:rPr>
          <w:rFonts w:cs="Calibri"/>
        </w:rPr>
        <w:t>Forum</w:t>
      </w:r>
      <w:r w:rsidR="00265B89">
        <w:rPr>
          <w:rFonts w:cs="Calibri"/>
        </w:rPr>
        <w:t xml:space="preserve"> St-Laurent sur la sécurité int</w:t>
      </w:r>
      <w:r w:rsidR="0082474B">
        <w:rPr>
          <w:rFonts w:cs="Calibri"/>
        </w:rPr>
        <w:t>ernationale (</w:t>
      </w:r>
      <w:proofErr w:type="spellStart"/>
      <w:r w:rsidR="0082474B">
        <w:rPr>
          <w:rFonts w:cs="Calibri"/>
        </w:rPr>
        <w:t>co</w:t>
      </w:r>
      <w:proofErr w:type="spellEnd"/>
      <w:r w:rsidR="0082474B">
        <w:rPr>
          <w:rFonts w:cs="Calibri"/>
        </w:rPr>
        <w:t>-organisé avec l’Université</w:t>
      </w:r>
      <w:r w:rsidR="00265B89">
        <w:rPr>
          <w:rFonts w:cs="Calibri"/>
        </w:rPr>
        <w:t xml:space="preserve"> Laval et l’UQAM)</w:t>
      </w:r>
      <w:r w:rsidR="00D303F9" w:rsidRPr="00F539E5">
        <w:rPr>
          <w:rFonts w:cs="Calibri"/>
        </w:rPr>
        <w:t>.</w:t>
      </w:r>
      <w:r w:rsidR="00D303F9" w:rsidRPr="00F539E5">
        <w:t xml:space="preserve"> </w:t>
      </w:r>
    </w:p>
    <w:p w14:paraId="6B07DDC1" w14:textId="6F920D9C" w:rsidR="00D303F9" w:rsidRPr="00F539E5" w:rsidRDefault="00D303F9" w:rsidP="00D303F9">
      <w:pPr>
        <w:jc w:val="both"/>
        <w:rPr>
          <w:rFonts w:cs="Calibri"/>
        </w:rPr>
      </w:pPr>
      <w:r w:rsidRPr="00F539E5">
        <w:rPr>
          <w:rFonts w:cs="Calibri"/>
        </w:rPr>
        <w:t xml:space="preserve">Le CÉRIUM rejoint un public bien au-delà du milieu universitaire. Nos chercheurs ont effectué </w:t>
      </w:r>
      <w:r w:rsidR="00AF2FE8">
        <w:rPr>
          <w:rFonts w:cs="Calibri"/>
        </w:rPr>
        <w:t>290</w:t>
      </w:r>
      <w:r w:rsidR="00AF2FE8" w:rsidRPr="006A234E">
        <w:rPr>
          <w:rFonts w:cs="Calibri"/>
        </w:rPr>
        <w:t xml:space="preserve"> </w:t>
      </w:r>
      <w:r w:rsidRPr="00F539E5">
        <w:rPr>
          <w:rFonts w:cs="Calibri"/>
        </w:rPr>
        <w:t xml:space="preserve">interventions médiatiques </w:t>
      </w:r>
      <w:r w:rsidR="00D56447">
        <w:rPr>
          <w:rFonts w:cs="Calibri"/>
        </w:rPr>
        <w:t>pendant l’année universitaire 201</w:t>
      </w:r>
      <w:r w:rsidR="00B362FF">
        <w:rPr>
          <w:rFonts w:cs="Calibri"/>
        </w:rPr>
        <w:t>5</w:t>
      </w:r>
      <w:r w:rsidR="00D56447">
        <w:rPr>
          <w:rFonts w:cs="Calibri"/>
        </w:rPr>
        <w:t>-201</w:t>
      </w:r>
      <w:r w:rsidR="00B362FF">
        <w:rPr>
          <w:rFonts w:cs="Calibri"/>
        </w:rPr>
        <w:t>6</w:t>
      </w:r>
      <w:r w:rsidR="00D56447">
        <w:rPr>
          <w:rFonts w:cs="Calibri"/>
        </w:rPr>
        <w:t xml:space="preserve">. Ils ont animé </w:t>
      </w:r>
      <w:r w:rsidR="00AF2FE8">
        <w:rPr>
          <w:rFonts w:cs="Calibri"/>
        </w:rPr>
        <w:t>17</w:t>
      </w:r>
      <w:r w:rsidR="00AF2FE8" w:rsidRPr="00F539E5">
        <w:rPr>
          <w:rFonts w:cs="Calibri"/>
        </w:rPr>
        <w:t xml:space="preserve"> </w:t>
      </w:r>
      <w:r w:rsidRPr="00F539E5">
        <w:rPr>
          <w:rFonts w:cs="Calibri"/>
        </w:rPr>
        <w:t xml:space="preserve">écoles d’été </w:t>
      </w:r>
      <w:r w:rsidR="00D56447">
        <w:rPr>
          <w:rFonts w:cs="Calibri"/>
        </w:rPr>
        <w:t xml:space="preserve">(dont une à Paris) </w:t>
      </w:r>
      <w:r w:rsidRPr="00F539E5">
        <w:rPr>
          <w:rFonts w:cs="Calibri"/>
        </w:rPr>
        <w:t xml:space="preserve">qui, sur des sujets allant de </w:t>
      </w:r>
      <w:r w:rsidR="00AF2FE8">
        <w:rPr>
          <w:rFonts w:cs="Calibri"/>
        </w:rPr>
        <w:t>l’économie circulaire</w:t>
      </w:r>
      <w:r w:rsidRPr="00F539E5">
        <w:rPr>
          <w:rFonts w:cs="Calibri"/>
        </w:rPr>
        <w:t xml:space="preserve"> </w:t>
      </w:r>
      <w:r w:rsidR="00AF2FE8">
        <w:rPr>
          <w:rFonts w:cs="Calibri"/>
        </w:rPr>
        <w:t>aux humanités numériques</w:t>
      </w:r>
      <w:r w:rsidR="00D56447">
        <w:rPr>
          <w:rFonts w:cs="Calibri"/>
        </w:rPr>
        <w:t xml:space="preserve">, des </w:t>
      </w:r>
      <w:r w:rsidR="00EA3A49" w:rsidRPr="00106119">
        <w:rPr>
          <w:rFonts w:cs="Calibri"/>
        </w:rPr>
        <w:t>conflits</w:t>
      </w:r>
      <w:r w:rsidR="00AF2FE8" w:rsidRPr="00106119">
        <w:rPr>
          <w:rFonts w:cs="Calibri"/>
        </w:rPr>
        <w:t xml:space="preserve"> armés contemporains</w:t>
      </w:r>
      <w:r w:rsidR="00AF2FE8">
        <w:rPr>
          <w:rFonts w:cs="Calibri"/>
        </w:rPr>
        <w:t xml:space="preserve"> </w:t>
      </w:r>
      <w:r w:rsidR="00D56447">
        <w:rPr>
          <w:rFonts w:cs="Calibri"/>
        </w:rPr>
        <w:t>au</w:t>
      </w:r>
      <w:r w:rsidR="008E799A">
        <w:rPr>
          <w:rFonts w:cs="Calibri"/>
        </w:rPr>
        <w:t>x</w:t>
      </w:r>
      <w:r w:rsidRPr="00F539E5">
        <w:rPr>
          <w:rFonts w:cs="Calibri"/>
        </w:rPr>
        <w:t xml:space="preserve">, </w:t>
      </w:r>
      <w:r w:rsidR="00AF2FE8">
        <w:rPr>
          <w:rFonts w:cs="Calibri"/>
        </w:rPr>
        <w:t xml:space="preserve">questions migratoires </w:t>
      </w:r>
      <w:r w:rsidRPr="00F539E5">
        <w:rPr>
          <w:rFonts w:cs="Calibri"/>
        </w:rPr>
        <w:t xml:space="preserve">ont attiré </w:t>
      </w:r>
      <w:r w:rsidR="00AF2FE8">
        <w:rPr>
          <w:rFonts w:cs="Calibri"/>
        </w:rPr>
        <w:t xml:space="preserve">379 </w:t>
      </w:r>
      <w:r w:rsidR="00D56447">
        <w:rPr>
          <w:rFonts w:cs="Calibri"/>
        </w:rPr>
        <w:t xml:space="preserve">étudiants du </w:t>
      </w:r>
      <w:r w:rsidR="00AF2FE8">
        <w:rPr>
          <w:rFonts w:cs="Calibri"/>
        </w:rPr>
        <w:t xml:space="preserve">23 </w:t>
      </w:r>
      <w:r w:rsidR="00D56447">
        <w:rPr>
          <w:rFonts w:cs="Calibri"/>
        </w:rPr>
        <w:t>mai au 9</w:t>
      </w:r>
      <w:r w:rsidRPr="00F539E5">
        <w:rPr>
          <w:rFonts w:cs="Calibri"/>
        </w:rPr>
        <w:t xml:space="preserve"> juillet</w:t>
      </w:r>
      <w:r w:rsidR="00D56447">
        <w:rPr>
          <w:rFonts w:cs="Calibri"/>
        </w:rPr>
        <w:t xml:space="preserve"> 201</w:t>
      </w:r>
      <w:r w:rsidR="00AF2FE8">
        <w:rPr>
          <w:rFonts w:cs="Calibri"/>
        </w:rPr>
        <w:t>6</w:t>
      </w:r>
      <w:r w:rsidR="0082474B">
        <w:rPr>
          <w:rFonts w:cs="Calibri"/>
        </w:rPr>
        <w:t xml:space="preserve"> </w:t>
      </w:r>
      <w:r w:rsidR="0082474B" w:rsidRPr="00576FD8">
        <w:rPr>
          <w:rFonts w:cs="Calibri"/>
        </w:rPr>
        <w:t>(+3</w:t>
      </w:r>
      <w:r w:rsidR="00576FD8" w:rsidRPr="00483285">
        <w:rPr>
          <w:rFonts w:cs="Calibri"/>
        </w:rPr>
        <w:t>8</w:t>
      </w:r>
      <w:r w:rsidR="0082474B" w:rsidRPr="00576FD8">
        <w:rPr>
          <w:rFonts w:cs="Calibri"/>
        </w:rPr>
        <w:t>% par</w:t>
      </w:r>
      <w:r w:rsidR="0082474B">
        <w:rPr>
          <w:rFonts w:cs="Calibri"/>
        </w:rPr>
        <w:t xml:space="preserve"> rapport à l’année 201</w:t>
      </w:r>
      <w:r w:rsidR="009A4D23">
        <w:rPr>
          <w:rFonts w:cs="Calibri"/>
        </w:rPr>
        <w:t>4</w:t>
      </w:r>
      <w:r w:rsidR="0082474B">
        <w:rPr>
          <w:rFonts w:cs="Calibri"/>
        </w:rPr>
        <w:t>-201</w:t>
      </w:r>
      <w:r w:rsidR="009A4D23">
        <w:rPr>
          <w:rFonts w:cs="Calibri"/>
        </w:rPr>
        <w:t>5</w:t>
      </w:r>
      <w:r w:rsidR="0082474B">
        <w:rPr>
          <w:rFonts w:cs="Calibri"/>
        </w:rPr>
        <w:t>)</w:t>
      </w:r>
      <w:r>
        <w:rPr>
          <w:rFonts w:cs="Calibri"/>
        </w:rPr>
        <w:t xml:space="preserve">. </w:t>
      </w:r>
      <w:r w:rsidRPr="00F539E5">
        <w:rPr>
          <w:rFonts w:cs="Calibri"/>
        </w:rPr>
        <w:lastRenderedPageBreak/>
        <w:t xml:space="preserve">Finalement, </w:t>
      </w:r>
      <w:r w:rsidR="00EA5387">
        <w:rPr>
          <w:rFonts w:cs="Calibri"/>
        </w:rPr>
        <w:t>57</w:t>
      </w:r>
      <w:r w:rsidR="00C26090">
        <w:rPr>
          <w:rFonts w:cs="Calibri"/>
        </w:rPr>
        <w:t xml:space="preserve"> (+78%)</w:t>
      </w:r>
      <w:r w:rsidR="00C26090" w:rsidRPr="00F539E5">
        <w:rPr>
          <w:rFonts w:cs="Calibri"/>
        </w:rPr>
        <w:t xml:space="preserve"> </w:t>
      </w:r>
      <w:r w:rsidRPr="00F539E5">
        <w:rPr>
          <w:rFonts w:cs="Calibri"/>
        </w:rPr>
        <w:t>chercheurs</w:t>
      </w:r>
      <w:r w:rsidR="0022070B">
        <w:rPr>
          <w:rFonts w:cs="Calibri"/>
        </w:rPr>
        <w:t xml:space="preserve"> et Mme </w:t>
      </w:r>
      <w:proofErr w:type="spellStart"/>
      <w:r w:rsidR="0022070B">
        <w:rPr>
          <w:rFonts w:cs="Calibri"/>
        </w:rPr>
        <w:t>Taubira</w:t>
      </w:r>
      <w:proofErr w:type="spellEnd"/>
      <w:r w:rsidRPr="00F539E5">
        <w:rPr>
          <w:rFonts w:cs="Calibri"/>
        </w:rPr>
        <w:t xml:space="preserve"> ont participé à notre émission d’actualité internationale, Planète Terre, qu</w:t>
      </w:r>
      <w:r w:rsidR="00166E7C">
        <w:rPr>
          <w:rFonts w:cs="Calibri"/>
        </w:rPr>
        <w:t xml:space="preserve">i est diffusée sur Canal Savoir, </w:t>
      </w:r>
      <w:r w:rsidRPr="00F539E5">
        <w:rPr>
          <w:rFonts w:cs="Calibri"/>
        </w:rPr>
        <w:t xml:space="preserve">dans </w:t>
      </w:r>
      <w:r w:rsidRPr="00F539E5">
        <w:rPr>
          <w:rFonts w:cs="Calibri"/>
          <w:i/>
        </w:rPr>
        <w:t>Le Devoir</w:t>
      </w:r>
      <w:r w:rsidR="00166E7C" w:rsidRPr="00166E7C">
        <w:rPr>
          <w:rFonts w:cs="Calibri"/>
        </w:rPr>
        <w:t>, sur le site de l’AFP et la chaine YouTube du CÉRIUM</w:t>
      </w:r>
      <w:r w:rsidRPr="00166E7C">
        <w:rPr>
          <w:rFonts w:cs="Calibri"/>
        </w:rPr>
        <w:t>.</w:t>
      </w:r>
      <w:r w:rsidRPr="00F539E5">
        <w:rPr>
          <w:rFonts w:cs="Calibri"/>
        </w:rPr>
        <w:t xml:space="preserve"> </w:t>
      </w:r>
      <w:r w:rsidR="00166E7C" w:rsidRPr="008A3AD6">
        <w:rPr>
          <w:rFonts w:cs="Calibri"/>
        </w:rPr>
        <w:t xml:space="preserve">Ces différents canaux de diffusion ont totalisé </w:t>
      </w:r>
      <w:r w:rsidR="008A3AD6" w:rsidRPr="00EA3A49">
        <w:rPr>
          <w:rFonts w:cs="Calibri"/>
        </w:rPr>
        <w:t>19 730</w:t>
      </w:r>
      <w:r w:rsidR="00166E7C" w:rsidRPr="008A3AD6">
        <w:rPr>
          <w:rFonts w:cs="Calibri"/>
        </w:rPr>
        <w:t xml:space="preserve"> vues</w:t>
      </w:r>
      <w:r w:rsidRPr="006C3AC6">
        <w:rPr>
          <w:rFonts w:cs="Calibri"/>
        </w:rPr>
        <w:t>.</w:t>
      </w:r>
      <w:r w:rsidRPr="00F539E5">
        <w:rPr>
          <w:rFonts w:cs="Calibri"/>
        </w:rPr>
        <w:t xml:space="preserve"> </w:t>
      </w:r>
    </w:p>
    <w:p w14:paraId="27D32582" w14:textId="77777777" w:rsidR="00D303F9" w:rsidRPr="00F539E5" w:rsidRDefault="00D303F9" w:rsidP="00D303F9">
      <w:pPr>
        <w:jc w:val="both"/>
        <w:rPr>
          <w:b/>
          <w:color w:val="00487D"/>
        </w:rPr>
      </w:pPr>
      <w:r w:rsidRPr="00F539E5">
        <w:rPr>
          <w:b/>
          <w:color w:val="00487D"/>
        </w:rPr>
        <w:t xml:space="preserve">Communauté </w:t>
      </w:r>
    </w:p>
    <w:p w14:paraId="6A52B162" w14:textId="69A0E465" w:rsidR="00D303F9" w:rsidRPr="00F539E5" w:rsidRDefault="00D303F9" w:rsidP="00D303F9">
      <w:pPr>
        <w:jc w:val="both"/>
      </w:pPr>
      <w:r w:rsidRPr="00F539E5">
        <w:t>Le CÉRIUM est composé de 6 pôles couvrant des aires géographiques et des thèmes sur lesquels nos chercheurs possèdent une expertise reconnue : l’Afrique, les Amériques, l’Asie, l’Europe, la gouvernance, et la p</w:t>
      </w:r>
      <w:r w:rsidR="0082474B">
        <w:t>aix et la sécurité. Ces pôles regroupent 19 unités de recherche.</w:t>
      </w:r>
    </w:p>
    <w:p w14:paraId="1244E9F9" w14:textId="053EFEA0" w:rsidR="00D303F9" w:rsidRPr="00A77AD2" w:rsidRDefault="001E2868" w:rsidP="00D303F9">
      <w:pPr>
        <w:jc w:val="both"/>
        <w:rPr>
          <w:i/>
        </w:rPr>
      </w:pPr>
      <w:r>
        <w:t>Cette année, le</w:t>
      </w:r>
      <w:r w:rsidR="00FF09E0">
        <w:t xml:space="preserve"> CÉRIUM a accueilli </w:t>
      </w:r>
      <w:r w:rsidR="006F1A8A">
        <w:t>6</w:t>
      </w:r>
      <w:r w:rsidR="006F1A8A" w:rsidRPr="00F539E5">
        <w:t xml:space="preserve"> </w:t>
      </w:r>
      <w:r w:rsidR="00FF09E0">
        <w:t xml:space="preserve">nouveaux </w:t>
      </w:r>
      <w:r w:rsidR="00C60403">
        <w:t>membres</w:t>
      </w:r>
      <w:r w:rsidR="00FF09E0">
        <w:t xml:space="preserve"> </w:t>
      </w:r>
      <w:r w:rsidR="006F1A8A">
        <w:t>chercheurs</w:t>
      </w:r>
      <w:r w:rsidR="00FF09E0">
        <w:t xml:space="preserve">. </w:t>
      </w:r>
      <w:r w:rsidR="00846D32">
        <w:t xml:space="preserve">En plus des </w:t>
      </w:r>
      <w:r w:rsidR="00576FD8">
        <w:t xml:space="preserve">73 </w:t>
      </w:r>
      <w:r w:rsidR="00FF09E0">
        <w:t>professeurs chercheurs</w:t>
      </w:r>
      <w:r w:rsidR="00D303F9">
        <w:t>,</w:t>
      </w:r>
      <w:r w:rsidR="00D303F9" w:rsidRPr="00F539E5">
        <w:t xml:space="preserve"> le CÉRIUM </w:t>
      </w:r>
      <w:r w:rsidR="000F1B78">
        <w:t>a également accueilli 5</w:t>
      </w:r>
      <w:r w:rsidR="00D303F9" w:rsidRPr="00F539E5">
        <w:t xml:space="preserve"> </w:t>
      </w:r>
      <w:r w:rsidR="006F1A8A" w:rsidRPr="00A77AD2">
        <w:rPr>
          <w:i/>
        </w:rPr>
        <w:t>chercheurs invités</w:t>
      </w:r>
      <w:r w:rsidR="006F1A8A">
        <w:t xml:space="preserve"> et </w:t>
      </w:r>
      <w:r w:rsidR="000F1B78">
        <w:t>4</w:t>
      </w:r>
      <w:r w:rsidR="006F1A8A">
        <w:t xml:space="preserve"> </w:t>
      </w:r>
      <w:proofErr w:type="spellStart"/>
      <w:r w:rsidR="00D303F9" w:rsidRPr="00F539E5">
        <w:rPr>
          <w:i/>
        </w:rPr>
        <w:t>fellows</w:t>
      </w:r>
      <w:proofErr w:type="spellEnd"/>
      <w:r w:rsidR="00D303F9" w:rsidRPr="00F539E5">
        <w:t xml:space="preserve"> qui </w:t>
      </w:r>
      <w:r w:rsidR="000F1B78">
        <w:t xml:space="preserve">ont profité de leur séjour pour approfondir leurs recherches ou qui </w:t>
      </w:r>
      <w:r w:rsidR="00D303F9" w:rsidRPr="00F539E5">
        <w:t>s</w:t>
      </w:r>
      <w:r w:rsidR="000F1B78">
        <w:t xml:space="preserve">e sont </w:t>
      </w:r>
      <w:r w:rsidR="00D303F9" w:rsidRPr="00F539E5">
        <w:t xml:space="preserve">investis dans des projets intellectuels avec la communauté. </w:t>
      </w:r>
      <w:r w:rsidR="006F1A8A">
        <w:t xml:space="preserve">Angel De la Vega Navarro (UNAM, Mexique) a profité de son séjour de deux mois au CERIUM pour s’intéresser aux problématiques énergétiques et environnementales de l’Amérique du Nord, en tant que région et en tenant compte de ses composantes nationales et sous-nationales. </w:t>
      </w:r>
      <w:r w:rsidR="00E322E3">
        <w:t xml:space="preserve">Mark Purdon, expert de la politique de changement climatique et de développement international, a travaillé sur le manuscrit d’un livre issu de sa thèse de doctorat (Université de Toronto) et de ses recherches postdoctorales effectuées à </w:t>
      </w:r>
      <w:r w:rsidR="000F1B78">
        <w:t xml:space="preserve">la </w:t>
      </w:r>
      <w:r w:rsidR="00E322E3">
        <w:t xml:space="preserve">London </w:t>
      </w:r>
      <w:proofErr w:type="spellStart"/>
      <w:r w:rsidR="00E322E3">
        <w:t>School</w:t>
      </w:r>
      <w:proofErr w:type="spellEnd"/>
      <w:r w:rsidR="00E322E3">
        <w:t xml:space="preserve"> of </w:t>
      </w:r>
      <w:proofErr w:type="spellStart"/>
      <w:r w:rsidR="00E322E3">
        <w:t>Economics</w:t>
      </w:r>
      <w:proofErr w:type="spellEnd"/>
      <w:r w:rsidR="000F1B78">
        <w:t xml:space="preserve">. </w:t>
      </w:r>
      <w:r w:rsidR="000F1B78" w:rsidRPr="00483285">
        <w:rPr>
          <w:rFonts w:eastAsia="Times New Roman" w:cs="Arial"/>
          <w:bCs/>
          <w:color w:val="292723"/>
          <w:lang w:eastAsia="fr-FR"/>
        </w:rPr>
        <w:t xml:space="preserve">Jean-Frédéric Légaré-Tremblay a continué à s’investir comme animateur de l’émission Planète Terre et journaliste au Devoir. John </w:t>
      </w:r>
      <w:proofErr w:type="spellStart"/>
      <w:r w:rsidR="000F1B78" w:rsidRPr="00483285">
        <w:rPr>
          <w:rFonts w:eastAsia="Times New Roman" w:cs="Arial"/>
          <w:bCs/>
          <w:color w:val="292723"/>
          <w:lang w:eastAsia="fr-FR"/>
        </w:rPr>
        <w:t>Parisella</w:t>
      </w:r>
      <w:proofErr w:type="spellEnd"/>
      <w:r w:rsidR="000F1B78" w:rsidRPr="00483285">
        <w:rPr>
          <w:rFonts w:eastAsia="Times New Roman" w:cs="Arial"/>
          <w:bCs/>
          <w:color w:val="292723"/>
          <w:lang w:eastAsia="fr-FR"/>
        </w:rPr>
        <w:t xml:space="preserve"> a été particulièrement actif sur la thématique des élections américaines. Hugo Séguin</w:t>
      </w:r>
      <w:r w:rsidR="00C1601A" w:rsidRPr="00483285">
        <w:rPr>
          <w:rFonts w:eastAsia="Times New Roman" w:cs="Arial"/>
          <w:bCs/>
          <w:color w:val="292723"/>
          <w:lang w:eastAsia="fr-FR"/>
        </w:rPr>
        <w:t xml:space="preserve"> a</w:t>
      </w:r>
      <w:r w:rsidR="000F1B78" w:rsidRPr="00483285">
        <w:rPr>
          <w:rFonts w:eastAsia="Times New Roman" w:cs="Arial"/>
          <w:bCs/>
          <w:color w:val="292723"/>
          <w:lang w:eastAsia="fr-FR"/>
        </w:rPr>
        <w:t xml:space="preserve"> </w:t>
      </w:r>
      <w:r w:rsidR="00C1601A" w:rsidRPr="00483285">
        <w:rPr>
          <w:rFonts w:eastAsia="Times New Roman" w:cs="Arial"/>
          <w:bCs/>
          <w:color w:val="292723"/>
          <w:lang w:eastAsia="fr-FR"/>
        </w:rPr>
        <w:t xml:space="preserve">organisé pour la deuxième année consécutive une école d’été (avec Erick Lachapelle) sur les questions </w:t>
      </w:r>
      <w:r w:rsidR="00C1601A" w:rsidRPr="00483285">
        <w:rPr>
          <w:rFonts w:eastAsia="Times New Roman" w:cs="Arial"/>
          <w:bCs/>
          <w:color w:val="292723"/>
          <w:lang w:eastAsia="fr-FR"/>
        </w:rPr>
        <w:lastRenderedPageBreak/>
        <w:t>climatiques.</w:t>
      </w:r>
      <w:r w:rsidR="00C1601A" w:rsidRPr="00FA7A15">
        <w:rPr>
          <w:rFonts w:eastAsia="Times New Roman" w:cs="Arial"/>
          <w:bCs/>
          <w:color w:val="292723"/>
          <w:sz w:val="20"/>
          <w:szCs w:val="20"/>
          <w:lang w:eastAsia="fr-FR"/>
        </w:rPr>
        <w:t xml:space="preserve"> </w:t>
      </w:r>
      <w:r w:rsidR="00C1601A">
        <w:t>Ben Rowswell a formé une nouvelle équipe de Diplomatie directe au sein de l’école Munk de l’Université de Toronto.</w:t>
      </w:r>
    </w:p>
    <w:p w14:paraId="3F1CFE89" w14:textId="77777777" w:rsidR="00AE2A34" w:rsidRDefault="00AE2A34" w:rsidP="00D303F9">
      <w:pPr>
        <w:jc w:val="both"/>
      </w:pPr>
    </w:p>
    <w:p w14:paraId="489B333A" w14:textId="68C179AC" w:rsidR="00A77AD2" w:rsidRDefault="00E322E3" w:rsidP="00FA7A15">
      <w:pPr>
        <w:jc w:val="both"/>
      </w:pPr>
      <w:r w:rsidRPr="00A77AD2">
        <w:t>En 2015-2016, le</w:t>
      </w:r>
      <w:r>
        <w:t xml:space="preserve"> CERIUM a </w:t>
      </w:r>
      <w:r w:rsidR="009B4B0F">
        <w:t xml:space="preserve">accueilli 5 chercheurs postdoctoraux. Parmi ces </w:t>
      </w:r>
      <w:r w:rsidR="00C1601A">
        <w:t>derniers</w:t>
      </w:r>
      <w:r w:rsidR="009B4B0F">
        <w:t xml:space="preserve">, Marième N’Diaye </w:t>
      </w:r>
      <w:r w:rsidR="00C1601A">
        <w:t xml:space="preserve">et </w:t>
      </w:r>
      <w:proofErr w:type="spellStart"/>
      <w:r w:rsidR="00C1601A">
        <w:t>Hèlene</w:t>
      </w:r>
      <w:proofErr w:type="spellEnd"/>
      <w:r w:rsidR="00C1601A">
        <w:t xml:space="preserve"> Thibault ont obtenu un poste, respectivement au CNRS </w:t>
      </w:r>
      <w:r w:rsidR="009B4B0F">
        <w:t>(Paris) et</w:t>
      </w:r>
      <w:r w:rsidR="00C1601A">
        <w:t xml:space="preserve"> à l’Université </w:t>
      </w:r>
      <w:proofErr w:type="spellStart"/>
      <w:r w:rsidR="00D87D64">
        <w:t>Nazarbayev</w:t>
      </w:r>
      <w:proofErr w:type="spellEnd"/>
      <w:r w:rsidR="00D87D64">
        <w:t xml:space="preserve"> (Kazakhstan). </w:t>
      </w:r>
      <w:r w:rsidR="009B4B0F">
        <w:t xml:space="preserve">Le CERIUM a également lancé un nouveau programme de bourse de rédaction de fin de thèse. Au total, 9 doctorants du Québec et de l’étranger ont reçu une bourse de rédaction pour un séjour de 4 mois au CERIUM. A ces étudiants, s’ajoutent </w:t>
      </w:r>
      <w:r w:rsidR="00D87D64">
        <w:t>plus de vingt</w:t>
      </w:r>
      <w:r w:rsidR="009B4B0F">
        <w:rPr>
          <w:rFonts w:cs="Calibri"/>
        </w:rPr>
        <w:t xml:space="preserve"> </w:t>
      </w:r>
      <w:r w:rsidR="00D87D64">
        <w:rPr>
          <w:rFonts w:cs="Calibri"/>
        </w:rPr>
        <w:t xml:space="preserve">doctorants </w:t>
      </w:r>
      <w:r w:rsidR="009B4B0F">
        <w:t>de l’Université de Montréal accueillis au CERIUM ou dans une de ses unités affiliées.</w:t>
      </w:r>
      <w:r w:rsidR="007746B8">
        <w:t xml:space="preserve"> </w:t>
      </w:r>
      <w:r w:rsidR="00A77AD2">
        <w:rPr>
          <w:lang w:val="fr-FR"/>
        </w:rPr>
        <w:t xml:space="preserve">Le CÉRIUM a également renforcé ses liens avec l'Association des </w:t>
      </w:r>
      <w:proofErr w:type="spellStart"/>
      <w:r w:rsidR="00A77AD2">
        <w:rPr>
          <w:lang w:val="fr-FR"/>
        </w:rPr>
        <w:t>étudiant.e.s</w:t>
      </w:r>
      <w:proofErr w:type="spellEnd"/>
      <w:r w:rsidR="00A77AD2">
        <w:rPr>
          <w:lang w:val="fr-FR"/>
        </w:rPr>
        <w:t xml:space="preserve"> aux cycles supérieurs en Études internationales (AECSEI) en organisant trois évènements conjoints à destination des étudiants. Le CERIUM et l’AECSEI ont par exemple organisé une rencontre professionnelle avec Julien Fréchette, réalisateur, autour de la projection de son film « Kurdistan de gré ou de force ». En avril 2016, un colloque étudiant autour de la thématique « Études internationales et société » a également été organisé.</w:t>
      </w:r>
    </w:p>
    <w:p w14:paraId="330F6A8C" w14:textId="77777777" w:rsidR="00A77AD2" w:rsidRPr="00F539E5" w:rsidRDefault="00A77AD2" w:rsidP="00D303F9">
      <w:pPr>
        <w:jc w:val="both"/>
      </w:pPr>
    </w:p>
    <w:p w14:paraId="7978E8B6" w14:textId="77777777" w:rsidR="00D303F9" w:rsidRPr="00F539E5" w:rsidRDefault="00D303F9" w:rsidP="00D303F9">
      <w:pPr>
        <w:jc w:val="both"/>
        <w:rPr>
          <w:b/>
          <w:color w:val="00487D"/>
        </w:rPr>
      </w:pPr>
      <w:r w:rsidRPr="00F539E5">
        <w:rPr>
          <w:b/>
          <w:color w:val="00487D"/>
        </w:rPr>
        <w:t>Communication et partenariats</w:t>
      </w:r>
    </w:p>
    <w:p w14:paraId="40A76ECF" w14:textId="19D76217" w:rsidR="00A0155F" w:rsidRDefault="00593230" w:rsidP="00D303F9">
      <w:pPr>
        <w:jc w:val="both"/>
      </w:pPr>
      <w:r>
        <w:t>L’année 201</w:t>
      </w:r>
      <w:r w:rsidR="007746B8">
        <w:t>5</w:t>
      </w:r>
      <w:r>
        <w:t>-1</w:t>
      </w:r>
      <w:r w:rsidR="007746B8">
        <w:t>6</w:t>
      </w:r>
      <w:r>
        <w:t xml:space="preserve"> a été marqu</w:t>
      </w:r>
      <w:r w:rsidR="007746B8">
        <w:t xml:space="preserve">ée par une communication plus moderne et efficace grâce au nouveau site du CERIUM et ses autres outils de communication. </w:t>
      </w:r>
      <w:r w:rsidR="00C862F1">
        <w:t>Au 31 juillet 2</w:t>
      </w:r>
      <w:r w:rsidR="004B01A2">
        <w:t>016</w:t>
      </w:r>
      <w:r w:rsidR="00C862F1">
        <w:t>, la</w:t>
      </w:r>
      <w:r w:rsidR="00D114B9">
        <w:t xml:space="preserve"> page</w:t>
      </w:r>
      <w:r w:rsidR="00D303F9" w:rsidRPr="00F539E5">
        <w:t xml:space="preserve"> Facebook </w:t>
      </w:r>
      <w:r w:rsidR="002E52D6">
        <w:t xml:space="preserve">comptait </w:t>
      </w:r>
      <w:r w:rsidR="00C862F1">
        <w:t>2160</w:t>
      </w:r>
      <w:r w:rsidR="007746B8" w:rsidRPr="00F539E5">
        <w:t xml:space="preserve"> </w:t>
      </w:r>
      <w:r w:rsidR="00D303F9" w:rsidRPr="00F539E5">
        <w:t>abonnés (+</w:t>
      </w:r>
      <w:r w:rsidR="002E52D6">
        <w:t>27</w:t>
      </w:r>
      <w:r w:rsidR="00D303F9" w:rsidRPr="00F539E5">
        <w:t>%</w:t>
      </w:r>
      <w:r w:rsidR="00D114B9">
        <w:t xml:space="preserve">), </w:t>
      </w:r>
      <w:r w:rsidR="00A0155F">
        <w:t>le compte</w:t>
      </w:r>
      <w:r w:rsidR="00D114B9">
        <w:t xml:space="preserve"> Twitter </w:t>
      </w:r>
      <w:r w:rsidR="00C862F1">
        <w:t>1578</w:t>
      </w:r>
      <w:r w:rsidR="00A0155F">
        <w:t xml:space="preserve"> </w:t>
      </w:r>
      <w:proofErr w:type="spellStart"/>
      <w:r w:rsidR="00A0155F">
        <w:rPr>
          <w:i/>
        </w:rPr>
        <w:t>followers</w:t>
      </w:r>
      <w:proofErr w:type="spellEnd"/>
      <w:r w:rsidR="00A0155F">
        <w:t xml:space="preserve"> </w:t>
      </w:r>
      <w:r w:rsidR="00D114B9">
        <w:t>(+</w:t>
      </w:r>
      <w:r w:rsidR="00A0155F">
        <w:t>57</w:t>
      </w:r>
      <w:r w:rsidR="00D303F9" w:rsidRPr="00F539E5">
        <w:t xml:space="preserve">%), </w:t>
      </w:r>
      <w:r w:rsidR="00A0155F">
        <w:t xml:space="preserve">la chaîne YouTube 313 abonnés </w:t>
      </w:r>
      <w:r w:rsidR="00D303F9" w:rsidRPr="00F539E5">
        <w:t xml:space="preserve">et </w:t>
      </w:r>
      <w:r w:rsidR="00D114B9">
        <w:t>le groupe</w:t>
      </w:r>
      <w:r w:rsidR="00D303F9" w:rsidRPr="00F539E5">
        <w:t xml:space="preserve"> LinkedIn </w:t>
      </w:r>
      <w:r w:rsidR="00C862F1">
        <w:t xml:space="preserve">214 </w:t>
      </w:r>
      <w:r w:rsidR="00F51EE4">
        <w:t>membres (+</w:t>
      </w:r>
      <w:r w:rsidR="00C862F1">
        <w:t>16</w:t>
      </w:r>
      <w:r w:rsidR="00F51EE4">
        <w:t>%)</w:t>
      </w:r>
      <w:r w:rsidR="00D303F9" w:rsidRPr="00F539E5">
        <w:t xml:space="preserve">. </w:t>
      </w:r>
      <w:r w:rsidR="00D87D64">
        <w:t xml:space="preserve">Au 31 juillet 2016, </w:t>
      </w:r>
      <w:r w:rsidR="002B2026">
        <w:t xml:space="preserve">3 594 personnes étaient abonnées à notre bulletin hebdomadaire. </w:t>
      </w:r>
      <w:r w:rsidR="00D87D64">
        <w:t xml:space="preserve">Depuis l’été 2016, d’importants efforts ont été menés pour améliorer nos capacités de réseautage et de diffusion. Nous devrions en ressentir les effets sur l’année universitaire 2016-2017. </w:t>
      </w:r>
    </w:p>
    <w:p w14:paraId="2E848388" w14:textId="4C3E825C" w:rsidR="00D303F9" w:rsidRPr="00F539E5" w:rsidRDefault="002B2026" w:rsidP="00D303F9">
      <w:pPr>
        <w:jc w:val="both"/>
      </w:pPr>
      <w:r w:rsidRPr="00FA7A15">
        <w:t>En 2015-2016, 4</w:t>
      </w:r>
      <w:r w:rsidR="00D303F9" w:rsidRPr="002B2026">
        <w:t xml:space="preserve"> </w:t>
      </w:r>
      <w:r w:rsidR="00D303F9" w:rsidRPr="002B2026">
        <w:rPr>
          <w:i/>
        </w:rPr>
        <w:t xml:space="preserve">Cahiers du CÉRIUM </w:t>
      </w:r>
      <w:r w:rsidR="00AF1420" w:rsidRPr="002B2026">
        <w:t>ont été</w:t>
      </w:r>
      <w:r w:rsidR="00D303F9" w:rsidRPr="002B2026">
        <w:t xml:space="preserve"> </w:t>
      </w:r>
      <w:r w:rsidRPr="004B01A2">
        <w:t>publiés</w:t>
      </w:r>
      <w:r w:rsidRPr="002B2026">
        <w:t xml:space="preserve"> </w:t>
      </w:r>
      <w:r w:rsidR="00AF1420" w:rsidRPr="002B2026">
        <w:t>sur des thèmes aussi variés que</w:t>
      </w:r>
      <w:r w:rsidR="00E824A3" w:rsidRPr="002B2026">
        <w:t xml:space="preserve"> la </w:t>
      </w:r>
      <w:r w:rsidRPr="00FA7A15">
        <w:t>modernisation navale chinoise, les défis de la démocratisation en Afrique ou encore les diplomates américains</w:t>
      </w:r>
      <w:r w:rsidR="00D303F9" w:rsidRPr="002B2026">
        <w:t xml:space="preserve">. </w:t>
      </w:r>
      <w:r>
        <w:t xml:space="preserve">4 </w:t>
      </w:r>
      <w:r w:rsidR="00DA6940">
        <w:t>n</w:t>
      </w:r>
      <w:r w:rsidR="00F51EE4" w:rsidRPr="005968FE">
        <w:t xml:space="preserve">otes d’analyse </w:t>
      </w:r>
      <w:r w:rsidRPr="004B01A2">
        <w:t>ont</w:t>
      </w:r>
      <w:r w:rsidRPr="005968FE">
        <w:t xml:space="preserve"> </w:t>
      </w:r>
      <w:r w:rsidR="00F51EE4" w:rsidRPr="005968FE">
        <w:t xml:space="preserve">également </w:t>
      </w:r>
      <w:r w:rsidRPr="00FA7A15">
        <w:t xml:space="preserve">été publiées. Les thématiques abordées vont de l’érosion de la classe moyenne américaine à </w:t>
      </w:r>
      <w:r w:rsidR="005968FE" w:rsidRPr="00FA7A15">
        <w:t xml:space="preserve">l’opinion des canadiens et américains sur le changement climatique, en passant par la politique étrangère de l’Inde. </w:t>
      </w:r>
      <w:r w:rsidR="00E824A3" w:rsidRPr="008747EC">
        <w:t xml:space="preserve">Comme </w:t>
      </w:r>
      <w:r w:rsidR="005968FE" w:rsidRPr="00FA7A15">
        <w:t>les années précédentes</w:t>
      </w:r>
      <w:r w:rsidR="00E824A3" w:rsidRPr="008747EC">
        <w:t>, l</w:t>
      </w:r>
      <w:r w:rsidR="00D303F9" w:rsidRPr="008747EC">
        <w:t xml:space="preserve">es écoles d’été, qui attirent </w:t>
      </w:r>
      <w:r w:rsidR="00E824A3" w:rsidRPr="008747EC">
        <w:t>une population étudiante croissante</w:t>
      </w:r>
      <w:r w:rsidR="00D303F9" w:rsidRPr="008747EC">
        <w:t xml:space="preserve">, demeurent notre principal relais auprès des étudiants de </w:t>
      </w:r>
      <w:r w:rsidR="00A0155F" w:rsidRPr="00FA7A15">
        <w:t>l</w:t>
      </w:r>
      <w:r w:rsidR="00D303F9" w:rsidRPr="008747EC">
        <w:t>’Université de Montréal, notamment ceux de la maîtrise et du baccalauréat en études internationales.</w:t>
      </w:r>
    </w:p>
    <w:p w14:paraId="2E0224CF" w14:textId="2E03CFA6" w:rsidR="00D303F9" w:rsidRDefault="00D303F9" w:rsidP="00D303F9">
      <w:pPr>
        <w:jc w:val="both"/>
        <w:rPr>
          <w:b/>
          <w:color w:val="00487D"/>
        </w:rPr>
      </w:pPr>
      <w:r w:rsidRPr="005968FE">
        <w:t xml:space="preserve">Le CÉRIUM a </w:t>
      </w:r>
      <w:r w:rsidR="005968FE" w:rsidRPr="00FA7A15">
        <w:t xml:space="preserve">continué de </w:t>
      </w:r>
      <w:r w:rsidR="00BF3C39" w:rsidRPr="005968FE">
        <w:t>renforc</w:t>
      </w:r>
      <w:r w:rsidR="005968FE" w:rsidRPr="00FA7A15">
        <w:t>er</w:t>
      </w:r>
      <w:r w:rsidR="00BF3C39" w:rsidRPr="005968FE">
        <w:t xml:space="preserve"> ses</w:t>
      </w:r>
      <w:r w:rsidRPr="005968FE">
        <w:t xml:space="preserve"> partenariats </w:t>
      </w:r>
      <w:r w:rsidR="00BF3C39" w:rsidRPr="00E90932">
        <w:t>avec</w:t>
      </w:r>
      <w:r w:rsidRPr="00E90932">
        <w:t xml:space="preserve"> </w:t>
      </w:r>
      <w:r w:rsidRPr="00E90932">
        <w:rPr>
          <w:i/>
        </w:rPr>
        <w:t>Le Devoir</w:t>
      </w:r>
      <w:r w:rsidRPr="00E90932">
        <w:t xml:space="preserve"> qui publie la tribune d’un chercheur du CÉRIUM et diffuse l’émission Planète Terre ; l’Agence France Presse qui participe aussi à Planète Terre ; </w:t>
      </w:r>
      <w:r w:rsidR="001E2868" w:rsidRPr="00E90932">
        <w:t>la Fondation Trudeau</w:t>
      </w:r>
      <w:r w:rsidRPr="00E90932">
        <w:t xml:space="preserve"> ; la Chaire Raoul </w:t>
      </w:r>
      <w:proofErr w:type="spellStart"/>
      <w:r w:rsidRPr="00E90932">
        <w:t>Dandurand</w:t>
      </w:r>
      <w:proofErr w:type="spellEnd"/>
      <w:r w:rsidRPr="00E90932">
        <w:t xml:space="preserve"> et HEI Laval qui </w:t>
      </w:r>
      <w:r w:rsidR="006A234E" w:rsidRPr="00E90932">
        <w:t>ont</w:t>
      </w:r>
      <w:r w:rsidR="00BF3C39" w:rsidRPr="00E90932">
        <w:t xml:space="preserve"> </w:t>
      </w:r>
      <w:proofErr w:type="spellStart"/>
      <w:r w:rsidR="00BF3C39" w:rsidRPr="00E90932">
        <w:t>co</w:t>
      </w:r>
      <w:proofErr w:type="spellEnd"/>
      <w:r w:rsidR="00BF3C39" w:rsidRPr="00E90932">
        <w:t>-organisé</w:t>
      </w:r>
      <w:r w:rsidRPr="00E90932">
        <w:t xml:space="preserve"> </w:t>
      </w:r>
      <w:r w:rsidR="00716038" w:rsidRPr="00E90932">
        <w:t xml:space="preserve">le Forum St-Laurent, le </w:t>
      </w:r>
      <w:r w:rsidR="005968FE" w:rsidRPr="00FA7A15">
        <w:t xml:space="preserve">6 </w:t>
      </w:r>
      <w:r w:rsidR="00716038" w:rsidRPr="005968FE">
        <w:t>mai 2015</w:t>
      </w:r>
      <w:r w:rsidR="001E2868" w:rsidRPr="005968FE">
        <w:t>,</w:t>
      </w:r>
      <w:r w:rsidR="00716038" w:rsidRPr="005968FE">
        <w:t xml:space="preserve"> en présence du </w:t>
      </w:r>
      <w:r w:rsidR="005968FE" w:rsidRPr="00FA7A15">
        <w:t xml:space="preserve">ministre des Affaires mondiales, Stéphane Dion </w:t>
      </w:r>
      <w:r w:rsidRPr="005968FE">
        <w:t xml:space="preserve">; </w:t>
      </w:r>
      <w:r w:rsidR="00734166" w:rsidRPr="005968FE">
        <w:t xml:space="preserve">l’Idée fédérale qui </w:t>
      </w:r>
      <w:r w:rsidR="005968FE" w:rsidRPr="00FA7A15">
        <w:t xml:space="preserve">continue de </w:t>
      </w:r>
      <w:r w:rsidR="00734166" w:rsidRPr="005968FE">
        <w:t>finance</w:t>
      </w:r>
      <w:r w:rsidR="005968FE" w:rsidRPr="00FA7A15">
        <w:t>r</w:t>
      </w:r>
      <w:r w:rsidR="00734166" w:rsidRPr="005968FE">
        <w:t xml:space="preserve"> une infolettre bimensuelle et des activités scientifiques ; </w:t>
      </w:r>
      <w:r w:rsidRPr="005968FE">
        <w:t xml:space="preserve">le Forum des Amériques-Conférence de Montréal </w:t>
      </w:r>
      <w:r w:rsidR="00716038" w:rsidRPr="005968FE">
        <w:t xml:space="preserve">avec qui nous </w:t>
      </w:r>
      <w:r w:rsidR="005968FE" w:rsidRPr="004B01A2">
        <w:t>avons lancé</w:t>
      </w:r>
      <w:r w:rsidR="005968FE" w:rsidRPr="005968FE">
        <w:t xml:space="preserve"> </w:t>
      </w:r>
      <w:r w:rsidR="00716038" w:rsidRPr="005968FE">
        <w:t xml:space="preserve">en 2015 le Cercle des Jeunes </w:t>
      </w:r>
      <w:r w:rsidR="001E2868" w:rsidRPr="00E90932">
        <w:t>L</w:t>
      </w:r>
      <w:r w:rsidR="00716038" w:rsidRPr="00E90932">
        <w:t>eaders</w:t>
      </w:r>
      <w:r w:rsidRPr="00E90932">
        <w:t>. Nous avons également approfondi nos relations avec notre principal partenaire, le Ministère des Relations internationales, et le réseau des consulats à Montréal.</w:t>
      </w:r>
      <w:r w:rsidRPr="00F539E5">
        <w:t xml:space="preserve"> </w:t>
      </w:r>
    </w:p>
    <w:p w14:paraId="234AF391" w14:textId="77777777" w:rsidR="00D303F9" w:rsidRPr="00F539E5" w:rsidRDefault="00D303F9" w:rsidP="00D303F9">
      <w:pPr>
        <w:jc w:val="both"/>
        <w:rPr>
          <w:b/>
          <w:color w:val="00487D"/>
        </w:rPr>
      </w:pPr>
      <w:commentRangeStart w:id="0"/>
      <w:commentRangeStart w:id="1"/>
      <w:r w:rsidRPr="00F539E5">
        <w:rPr>
          <w:b/>
          <w:color w:val="00487D"/>
        </w:rPr>
        <w:t>Défis et futures orientations</w:t>
      </w:r>
      <w:commentRangeEnd w:id="0"/>
      <w:r w:rsidR="00E90932">
        <w:rPr>
          <w:rStyle w:val="Marquedecommentaire"/>
        </w:rPr>
        <w:commentReference w:id="0"/>
      </w:r>
      <w:commentRangeEnd w:id="1"/>
      <w:r w:rsidR="00E90932">
        <w:rPr>
          <w:rStyle w:val="Marquedecommentaire"/>
        </w:rPr>
        <w:commentReference w:id="1"/>
      </w:r>
    </w:p>
    <w:p w14:paraId="0D6EB767" w14:textId="2D517C7B" w:rsidR="00D303F9" w:rsidRPr="00FA7A15" w:rsidRDefault="001E2868" w:rsidP="00D303F9">
      <w:pPr>
        <w:pStyle w:val="c"/>
        <w:rPr>
          <w:rFonts w:asciiTheme="minorHAnsi" w:eastAsiaTheme="minorHAnsi" w:hAnsiTheme="minorHAnsi"/>
          <w:sz w:val="22"/>
          <w:szCs w:val="22"/>
          <w:highlight w:val="cyan"/>
          <w:lang w:eastAsia="en-US"/>
        </w:rPr>
      </w:pPr>
      <w:r w:rsidRPr="00FA7A15">
        <w:rPr>
          <w:rFonts w:asciiTheme="minorHAnsi" w:eastAsiaTheme="minorHAnsi" w:hAnsiTheme="minorHAnsi"/>
          <w:sz w:val="22"/>
          <w:szCs w:val="22"/>
          <w:highlight w:val="cyan"/>
          <w:lang w:eastAsia="en-US"/>
        </w:rPr>
        <w:t xml:space="preserve">Après une année de relance en 2013-14, le CÉRIUM a atteint une vitesse de croisière en 2014-15. </w:t>
      </w:r>
      <w:r w:rsidR="00D303F9" w:rsidRPr="00FA7A15">
        <w:rPr>
          <w:rFonts w:asciiTheme="minorHAnsi" w:eastAsiaTheme="minorHAnsi" w:hAnsiTheme="minorHAnsi"/>
          <w:sz w:val="22"/>
          <w:szCs w:val="22"/>
          <w:highlight w:val="cyan"/>
          <w:lang w:eastAsia="en-US"/>
        </w:rPr>
        <w:lastRenderedPageBreak/>
        <w:t xml:space="preserve">Jouissant d’une bonne image de marque et fort d’une communauté remobilisée, le CÉRIUM </w:t>
      </w:r>
      <w:r w:rsidRPr="00FA7A15">
        <w:rPr>
          <w:rFonts w:asciiTheme="minorHAnsi" w:eastAsiaTheme="minorHAnsi" w:hAnsiTheme="minorHAnsi"/>
          <w:sz w:val="22"/>
          <w:szCs w:val="22"/>
          <w:highlight w:val="cyan"/>
          <w:lang w:eastAsia="en-US"/>
        </w:rPr>
        <w:t>se situe</w:t>
      </w:r>
      <w:r w:rsidR="00D303F9" w:rsidRPr="00FA7A15">
        <w:rPr>
          <w:rFonts w:asciiTheme="minorHAnsi" w:eastAsiaTheme="minorHAnsi" w:hAnsiTheme="minorHAnsi"/>
          <w:sz w:val="22"/>
          <w:szCs w:val="22"/>
          <w:highlight w:val="cyan"/>
          <w:lang w:eastAsia="en-US"/>
        </w:rPr>
        <w:t xml:space="preserve"> dans le peloton des plus importants centres de recherche sur la mondialisation au Canada et dans l’espace francophone. L’ambition du CÉRIUM repose sur l’adoption de trois axes identifiés comme prioritaires et transversaux à nos pôles de recherche actuels pour étudier la mondialisation et son impact sur notre société :</w:t>
      </w:r>
    </w:p>
    <w:p w14:paraId="74D7FC36" w14:textId="5F44865C" w:rsidR="00D303F9" w:rsidRPr="00FA7A15" w:rsidRDefault="00D303F9" w:rsidP="00FA7A15">
      <w:pPr>
        <w:pStyle w:val="Paragraphedeliste"/>
        <w:numPr>
          <w:ilvl w:val="0"/>
          <w:numId w:val="1"/>
        </w:numPr>
        <w:spacing w:after="120" w:line="240" w:lineRule="auto"/>
        <w:ind w:left="714" w:hanging="357"/>
        <w:jc w:val="both"/>
        <w:rPr>
          <w:highlight w:val="cyan"/>
        </w:rPr>
      </w:pPr>
      <w:r w:rsidRPr="00FA7A15">
        <w:rPr>
          <w:rFonts w:cs="Arial"/>
          <w:b/>
          <w:highlight w:val="cyan"/>
        </w:rPr>
        <w:t>Axe économique :</w:t>
      </w:r>
      <w:r w:rsidRPr="00FA7A15">
        <w:rPr>
          <w:rFonts w:cs="Arial"/>
          <w:highlight w:val="cyan"/>
        </w:rPr>
        <w:t xml:space="preserve"> l’émergence d’un marché global</w:t>
      </w:r>
      <w:r w:rsidR="001E2868" w:rsidRPr="00FA7A15">
        <w:rPr>
          <w:rFonts w:cs="Arial"/>
          <w:highlight w:val="cyan"/>
        </w:rPr>
        <w:t xml:space="preserve"> autour des accords transatlantique et </w:t>
      </w:r>
      <w:proofErr w:type="spellStart"/>
      <w:r w:rsidR="001E2868" w:rsidRPr="00FA7A15">
        <w:rPr>
          <w:rFonts w:cs="Arial"/>
          <w:highlight w:val="cyan"/>
        </w:rPr>
        <w:t>transpacifique</w:t>
      </w:r>
      <w:proofErr w:type="spellEnd"/>
      <w:r w:rsidR="001E2868" w:rsidRPr="00FA7A15">
        <w:rPr>
          <w:rFonts w:cs="Arial"/>
          <w:highlight w:val="cyan"/>
        </w:rPr>
        <w:t xml:space="preserve"> de libre-échange</w:t>
      </w:r>
      <w:r w:rsidRPr="00FA7A15">
        <w:rPr>
          <w:rFonts w:cs="Arial"/>
          <w:highlight w:val="cyan"/>
        </w:rPr>
        <w:t>, des chaînes de valeur toujours plus intégrées, la transition démographique, la sécurité de l’approvisionnement énergétique, l’essoufflement</w:t>
      </w:r>
      <w:r w:rsidR="001E2868" w:rsidRPr="00FA7A15">
        <w:rPr>
          <w:rFonts w:cs="Arial"/>
          <w:highlight w:val="cyan"/>
        </w:rPr>
        <w:t xml:space="preserve"> </w:t>
      </w:r>
      <w:r w:rsidRPr="00FA7A15">
        <w:rPr>
          <w:rFonts w:cs="Arial"/>
          <w:highlight w:val="cyan"/>
        </w:rPr>
        <w:t>du modèle</w:t>
      </w:r>
      <w:r w:rsidR="005968FE" w:rsidRPr="00FA7A15">
        <w:rPr>
          <w:rFonts w:cs="Arial"/>
          <w:highlight w:val="cyan"/>
        </w:rPr>
        <w:t xml:space="preserve"> </w:t>
      </w:r>
      <w:r w:rsidRPr="00FA7A15">
        <w:rPr>
          <w:highlight w:val="cyan"/>
        </w:rPr>
        <w:t>industriel et la concurrence fiscale transforment la société.</w:t>
      </w:r>
    </w:p>
    <w:p w14:paraId="1CF3A386" w14:textId="77777777" w:rsidR="00D303F9" w:rsidRPr="00FA7A15" w:rsidRDefault="00D303F9" w:rsidP="00D303F9">
      <w:pPr>
        <w:pStyle w:val="Paragraphedeliste"/>
        <w:spacing w:after="120" w:line="240" w:lineRule="auto"/>
        <w:ind w:left="714"/>
        <w:jc w:val="both"/>
        <w:rPr>
          <w:rFonts w:cs="Arial"/>
          <w:highlight w:val="cyan"/>
        </w:rPr>
      </w:pPr>
    </w:p>
    <w:p w14:paraId="49D5018E" w14:textId="15EC8E51" w:rsidR="00D303F9" w:rsidRPr="00FA7A15" w:rsidRDefault="00D303F9" w:rsidP="00D303F9">
      <w:pPr>
        <w:pStyle w:val="Paragraphedeliste"/>
        <w:numPr>
          <w:ilvl w:val="0"/>
          <w:numId w:val="1"/>
        </w:numPr>
        <w:spacing w:after="120" w:line="240" w:lineRule="auto"/>
        <w:ind w:left="714" w:hanging="357"/>
        <w:jc w:val="both"/>
        <w:rPr>
          <w:rFonts w:cs="Arial"/>
          <w:highlight w:val="cyan"/>
        </w:rPr>
      </w:pPr>
      <w:r w:rsidRPr="00FA7A15">
        <w:rPr>
          <w:rFonts w:cs="Arial"/>
          <w:b/>
          <w:highlight w:val="cyan"/>
        </w:rPr>
        <w:t>Axe environnemental:</w:t>
      </w:r>
      <w:r w:rsidRPr="00FA7A15">
        <w:rPr>
          <w:rFonts w:cs="Arial"/>
          <w:highlight w:val="cyan"/>
        </w:rPr>
        <w:t xml:space="preserve"> des priorités telles que la gestion durable des ressources et de la transition verte, les effets des énergies fossiles, l’évaluation des politiques et des risques environnementaux</w:t>
      </w:r>
      <w:r w:rsidR="004E0AA8" w:rsidRPr="00FA7A15">
        <w:rPr>
          <w:rFonts w:cs="Arial"/>
          <w:highlight w:val="cyan"/>
        </w:rPr>
        <w:t xml:space="preserve"> et la migration due aux changements climatiques</w:t>
      </w:r>
      <w:r w:rsidRPr="00FA7A15">
        <w:rPr>
          <w:rFonts w:cs="Arial"/>
          <w:highlight w:val="cyan"/>
        </w:rPr>
        <w:t xml:space="preserve"> sont plus que jamais à l’ordre du jour.</w:t>
      </w:r>
    </w:p>
    <w:p w14:paraId="0BA96F11" w14:textId="77777777" w:rsidR="00D303F9" w:rsidRPr="00FA7A15" w:rsidRDefault="00D303F9" w:rsidP="00D303F9">
      <w:pPr>
        <w:pStyle w:val="Paragraphedeliste"/>
        <w:spacing w:after="120" w:line="240" w:lineRule="auto"/>
        <w:ind w:left="714"/>
        <w:jc w:val="both"/>
        <w:rPr>
          <w:rFonts w:cs="Arial"/>
          <w:highlight w:val="cyan"/>
        </w:rPr>
      </w:pPr>
    </w:p>
    <w:p w14:paraId="462F7DDF" w14:textId="4A580D63" w:rsidR="00D303F9" w:rsidRPr="00B06BC1" w:rsidRDefault="00D303F9" w:rsidP="008B32BD">
      <w:pPr>
        <w:pStyle w:val="Paragraphedeliste"/>
        <w:numPr>
          <w:ilvl w:val="0"/>
          <w:numId w:val="1"/>
        </w:numPr>
        <w:spacing w:after="120" w:line="240" w:lineRule="auto"/>
        <w:ind w:left="714" w:hanging="357"/>
        <w:jc w:val="both"/>
        <w:sectPr w:rsidR="00D303F9" w:rsidRPr="00B06BC1" w:rsidSect="000D0B7A">
          <w:footerReference w:type="default" r:id="rId15"/>
          <w:type w:val="continuous"/>
          <w:pgSz w:w="12240" w:h="15840"/>
          <w:pgMar w:top="1440" w:right="1080" w:bottom="1440" w:left="1080" w:header="709" w:footer="709" w:gutter="0"/>
          <w:pgNumType w:start="1"/>
          <w:cols w:num="2" w:space="708"/>
          <w:titlePg/>
          <w:docGrid w:linePitch="360"/>
        </w:sectPr>
      </w:pPr>
      <w:r w:rsidRPr="00FA7A15">
        <w:rPr>
          <w:rFonts w:cs="Arial"/>
          <w:b/>
          <w:highlight w:val="cyan"/>
        </w:rPr>
        <w:t>Axe sécuritaire :</w:t>
      </w:r>
      <w:r w:rsidRPr="00FA7A15">
        <w:rPr>
          <w:rFonts w:cs="Arial"/>
          <w:highlight w:val="cyan"/>
        </w:rPr>
        <w:t xml:space="preserve"> l’instabilité politique dans le monde, </w:t>
      </w:r>
      <w:r w:rsidR="004E0AA8" w:rsidRPr="00FA7A15">
        <w:rPr>
          <w:rFonts w:cs="Arial"/>
          <w:highlight w:val="cyan"/>
        </w:rPr>
        <w:t>le terrorisme et les guerres civiles</w:t>
      </w:r>
      <w:r w:rsidRPr="00FA7A15">
        <w:rPr>
          <w:rFonts w:cs="Arial"/>
          <w:highlight w:val="cyan"/>
        </w:rPr>
        <w:t>, la lutte à la pauvreté, la géopolitique des ressources naturelles et les conflits idéologiques qui s’invitent dans notre propre société méritent une attention soutenue</w:t>
      </w:r>
      <w:r w:rsidRPr="00B06BC1">
        <w:rPr>
          <w:rFonts w:cs="Arial"/>
        </w:rPr>
        <w:t>.</w:t>
      </w:r>
    </w:p>
    <w:p w14:paraId="26FCA22A" w14:textId="77777777" w:rsidR="00D303F9" w:rsidRPr="00B06BC1" w:rsidRDefault="00D303F9" w:rsidP="00D303F9">
      <w:pPr>
        <w:jc w:val="both"/>
      </w:pPr>
    </w:p>
    <w:p w14:paraId="44E5EA0B" w14:textId="77777777" w:rsidR="00D303F9" w:rsidRPr="00B06BC1" w:rsidRDefault="00D303F9" w:rsidP="00D303F9">
      <w:pPr>
        <w:jc w:val="center"/>
        <w:rPr>
          <w:b/>
          <w:color w:val="00487D"/>
        </w:rPr>
      </w:pPr>
      <w:r w:rsidRPr="00B06BC1">
        <w:rPr>
          <w:b/>
          <w:color w:val="00487D"/>
        </w:rPr>
        <w:t>Conseil d'orientation</w:t>
      </w:r>
    </w:p>
    <w:p w14:paraId="43507818" w14:textId="77777777" w:rsidR="00D303F9" w:rsidRPr="00B06BC1" w:rsidRDefault="00D303F9" w:rsidP="00D303F9">
      <w:pPr>
        <w:spacing w:after="120" w:line="240" w:lineRule="auto"/>
        <w:outlineLvl w:val="1"/>
        <w:rPr>
          <w:rFonts w:eastAsia="Times New Roman" w:cs="Arial"/>
          <w:b/>
          <w:bCs/>
          <w:lang w:eastAsia="fr-CA"/>
        </w:rPr>
      </w:pPr>
      <w:r w:rsidRPr="00B06BC1">
        <w:rPr>
          <w:rFonts w:eastAsia="Times New Roman" w:cs="Arial"/>
          <w:b/>
          <w:bCs/>
          <w:lang w:eastAsia="fr-CA"/>
        </w:rPr>
        <w:t>Président</w:t>
      </w:r>
    </w:p>
    <w:p w14:paraId="011C113B" w14:textId="77777777" w:rsidR="00D303F9" w:rsidRPr="00B06BC1" w:rsidRDefault="00D303F9" w:rsidP="00D303F9">
      <w:pPr>
        <w:spacing w:after="120" w:line="336" w:lineRule="atLeast"/>
        <w:rPr>
          <w:rFonts w:eastAsia="Times New Roman" w:cs="Arial"/>
          <w:lang w:eastAsia="fr-CA"/>
        </w:rPr>
      </w:pPr>
      <w:r w:rsidRPr="00B06BC1">
        <w:rPr>
          <w:rFonts w:eastAsia="Times New Roman" w:cs="Arial"/>
          <w:b/>
          <w:bCs/>
          <w:lang w:eastAsia="fr-CA"/>
        </w:rPr>
        <w:t>Pierre-Marc Johnson</w:t>
      </w:r>
      <w:r w:rsidRPr="00B06BC1">
        <w:rPr>
          <w:rFonts w:eastAsia="Times New Roman" w:cs="Arial"/>
          <w:lang w:eastAsia="fr-CA"/>
        </w:rPr>
        <w:t xml:space="preserve">, avocat au cabinet </w:t>
      </w:r>
      <w:proofErr w:type="spellStart"/>
      <w:r w:rsidRPr="00B06BC1">
        <w:rPr>
          <w:rFonts w:eastAsia="Times New Roman" w:cs="Arial"/>
          <w:lang w:eastAsia="fr-CA"/>
        </w:rPr>
        <w:t>Lavery</w:t>
      </w:r>
      <w:proofErr w:type="spellEnd"/>
      <w:r w:rsidRPr="00B06BC1">
        <w:rPr>
          <w:rFonts w:eastAsia="Times New Roman" w:cs="Arial"/>
          <w:lang w:eastAsia="fr-CA"/>
        </w:rPr>
        <w:t xml:space="preserve">, ancien premier ministre du Québec. Monsieur Johnson a étudié le droit à l’Université de Montréal et la médecine à l’Université de Sherbrooke. Il est l’auteur de plusieurs ouvrages sur la mondialisation, dont </w:t>
      </w:r>
      <w:r w:rsidRPr="00B06BC1">
        <w:rPr>
          <w:rFonts w:eastAsia="Times New Roman" w:cs="Arial"/>
          <w:i/>
          <w:iCs/>
          <w:lang w:eastAsia="fr-CA"/>
        </w:rPr>
        <w:t xml:space="preserve">The </w:t>
      </w:r>
      <w:proofErr w:type="spellStart"/>
      <w:r w:rsidRPr="00B06BC1">
        <w:rPr>
          <w:rFonts w:eastAsia="Times New Roman" w:cs="Arial"/>
          <w:i/>
          <w:iCs/>
          <w:lang w:eastAsia="fr-CA"/>
        </w:rPr>
        <w:t>Environment</w:t>
      </w:r>
      <w:proofErr w:type="spellEnd"/>
      <w:r w:rsidRPr="00B06BC1">
        <w:rPr>
          <w:rFonts w:eastAsia="Times New Roman" w:cs="Arial"/>
          <w:i/>
          <w:iCs/>
          <w:lang w:eastAsia="fr-CA"/>
        </w:rPr>
        <w:t xml:space="preserve"> and NAFTA: </w:t>
      </w:r>
      <w:proofErr w:type="spellStart"/>
      <w:r w:rsidRPr="00B06BC1">
        <w:rPr>
          <w:rFonts w:eastAsia="Times New Roman" w:cs="Arial"/>
          <w:i/>
          <w:iCs/>
          <w:lang w:eastAsia="fr-CA"/>
        </w:rPr>
        <w:t>Understanding</w:t>
      </w:r>
      <w:proofErr w:type="spellEnd"/>
      <w:r w:rsidRPr="00B06BC1">
        <w:rPr>
          <w:rFonts w:eastAsia="Times New Roman" w:cs="Arial"/>
          <w:i/>
          <w:iCs/>
          <w:lang w:eastAsia="fr-CA"/>
        </w:rPr>
        <w:t xml:space="preserve"> and </w:t>
      </w:r>
      <w:proofErr w:type="spellStart"/>
      <w:r w:rsidRPr="00B06BC1">
        <w:rPr>
          <w:rFonts w:eastAsia="Times New Roman" w:cs="Arial"/>
          <w:i/>
          <w:iCs/>
          <w:lang w:eastAsia="fr-CA"/>
        </w:rPr>
        <w:t>Implementing</w:t>
      </w:r>
      <w:proofErr w:type="spellEnd"/>
      <w:r w:rsidRPr="00B06BC1">
        <w:rPr>
          <w:rFonts w:eastAsia="Times New Roman" w:cs="Arial"/>
          <w:i/>
          <w:iCs/>
          <w:lang w:eastAsia="fr-CA"/>
        </w:rPr>
        <w:t xml:space="preserve"> the New Continental Law</w:t>
      </w:r>
      <w:r w:rsidRPr="00B06BC1">
        <w:rPr>
          <w:rFonts w:eastAsia="Times New Roman" w:cs="Arial"/>
          <w:lang w:eastAsia="fr-CA"/>
        </w:rPr>
        <w:t xml:space="preserve"> et </w:t>
      </w:r>
      <w:r w:rsidRPr="00B06BC1">
        <w:rPr>
          <w:rFonts w:eastAsia="Times New Roman" w:cs="Arial"/>
          <w:i/>
          <w:iCs/>
          <w:lang w:eastAsia="fr-CA"/>
        </w:rPr>
        <w:t xml:space="preserve">Beyond Trade, the Case for a </w:t>
      </w:r>
      <w:proofErr w:type="spellStart"/>
      <w:r w:rsidRPr="00B06BC1">
        <w:rPr>
          <w:rFonts w:eastAsia="Times New Roman" w:cs="Arial"/>
          <w:i/>
          <w:iCs/>
          <w:lang w:eastAsia="fr-CA"/>
        </w:rPr>
        <w:t>Broadened</w:t>
      </w:r>
      <w:proofErr w:type="spellEnd"/>
      <w:r w:rsidRPr="00B06BC1">
        <w:rPr>
          <w:rFonts w:eastAsia="Times New Roman" w:cs="Arial"/>
          <w:i/>
          <w:iCs/>
          <w:lang w:eastAsia="fr-CA"/>
        </w:rPr>
        <w:t xml:space="preserve"> International </w:t>
      </w:r>
      <w:proofErr w:type="spellStart"/>
      <w:r w:rsidRPr="00B06BC1">
        <w:rPr>
          <w:rFonts w:eastAsia="Times New Roman" w:cs="Arial"/>
          <w:i/>
          <w:iCs/>
          <w:lang w:eastAsia="fr-CA"/>
        </w:rPr>
        <w:t>Governance</w:t>
      </w:r>
      <w:proofErr w:type="spellEnd"/>
      <w:r w:rsidRPr="00B06BC1">
        <w:rPr>
          <w:rFonts w:eastAsia="Times New Roman" w:cs="Arial"/>
          <w:i/>
          <w:iCs/>
          <w:lang w:eastAsia="fr-CA"/>
        </w:rPr>
        <w:t xml:space="preserve"> Agenda</w:t>
      </w:r>
      <w:r w:rsidRPr="00B06BC1">
        <w:rPr>
          <w:rFonts w:eastAsia="Times New Roman" w:cs="Arial"/>
          <w:lang w:eastAsia="fr-CA"/>
        </w:rPr>
        <w:t>.</w:t>
      </w:r>
    </w:p>
    <w:p w14:paraId="2CCDB61D" w14:textId="77777777" w:rsidR="00D303F9" w:rsidRPr="00B06BC1" w:rsidRDefault="00D303F9" w:rsidP="00D303F9">
      <w:pPr>
        <w:spacing w:after="120" w:line="240" w:lineRule="auto"/>
        <w:outlineLvl w:val="1"/>
        <w:rPr>
          <w:rFonts w:eastAsia="Times New Roman" w:cs="Arial"/>
          <w:b/>
          <w:bCs/>
          <w:lang w:eastAsia="fr-CA"/>
        </w:rPr>
      </w:pPr>
    </w:p>
    <w:p w14:paraId="6AD03A6B" w14:textId="77777777" w:rsidR="00D303F9" w:rsidRPr="00B06BC1" w:rsidRDefault="00D303F9" w:rsidP="00D303F9">
      <w:pPr>
        <w:spacing w:after="120" w:line="240" w:lineRule="auto"/>
        <w:outlineLvl w:val="1"/>
        <w:rPr>
          <w:rFonts w:eastAsia="Times New Roman" w:cs="Arial"/>
          <w:b/>
          <w:bCs/>
          <w:lang w:eastAsia="fr-CA"/>
        </w:rPr>
      </w:pPr>
      <w:r w:rsidRPr="00B06BC1">
        <w:rPr>
          <w:rFonts w:eastAsia="Times New Roman" w:cs="Arial"/>
          <w:b/>
          <w:bCs/>
          <w:lang w:eastAsia="fr-CA"/>
        </w:rPr>
        <w:t>Membres externes</w:t>
      </w:r>
    </w:p>
    <w:p w14:paraId="515E15F1" w14:textId="77777777" w:rsidR="00D303F9" w:rsidRPr="00B06BC1" w:rsidRDefault="00D303F9" w:rsidP="00D303F9">
      <w:pPr>
        <w:spacing w:after="120" w:line="336" w:lineRule="atLeast"/>
        <w:rPr>
          <w:rFonts w:eastAsia="Times New Roman" w:cs="Arial"/>
          <w:lang w:eastAsia="fr-CA"/>
        </w:rPr>
      </w:pPr>
      <w:r w:rsidRPr="00B06BC1">
        <w:rPr>
          <w:rFonts w:eastAsia="Times New Roman" w:cs="Arial"/>
          <w:b/>
          <w:bCs/>
          <w:lang w:eastAsia="fr-CA"/>
        </w:rPr>
        <w:t>Jean-Stéphane Bernard</w:t>
      </w:r>
      <w:r w:rsidRPr="00B06BC1">
        <w:rPr>
          <w:rFonts w:eastAsia="Times New Roman" w:cs="Arial"/>
          <w:lang w:eastAsia="fr-CA"/>
        </w:rPr>
        <w:t>, sous-ministre des Relations internationales et de la Francophonie du Québec. Dans la fonction publique québécoise depuis 1994, Monsieur Bernard a été délégué du Québec à Boston et directeur du Bureau du Québec à Washington.</w:t>
      </w:r>
      <w:r w:rsidRPr="00B06BC1">
        <w:rPr>
          <w:rFonts w:eastAsia="Times New Roman" w:cs="Arial"/>
          <w:b/>
          <w:bCs/>
          <w:lang w:eastAsia="fr-CA"/>
        </w:rPr>
        <w:br/>
      </w:r>
      <w:r w:rsidRPr="00B06BC1">
        <w:rPr>
          <w:rFonts w:eastAsia="Times New Roman" w:cs="Arial"/>
          <w:b/>
          <w:bCs/>
          <w:lang w:eastAsia="fr-CA"/>
        </w:rPr>
        <w:br/>
        <w:t>Michèle Boisvert</w:t>
      </w:r>
      <w:r w:rsidRPr="00B06BC1">
        <w:rPr>
          <w:rFonts w:eastAsia="Times New Roman" w:cs="Arial"/>
          <w:lang w:eastAsia="fr-CA"/>
        </w:rPr>
        <w:t xml:space="preserve">, économiste de formation, ancienne journaliste à Radio-Canada et à </w:t>
      </w:r>
      <w:r w:rsidRPr="00B06BC1">
        <w:rPr>
          <w:rFonts w:eastAsia="Times New Roman" w:cs="Arial"/>
          <w:i/>
          <w:iCs/>
          <w:lang w:eastAsia="fr-CA"/>
        </w:rPr>
        <w:t>La Presse</w:t>
      </w:r>
      <w:r w:rsidRPr="00B06BC1">
        <w:rPr>
          <w:rFonts w:eastAsia="Times New Roman" w:cs="Arial"/>
          <w:lang w:eastAsia="fr-CA"/>
        </w:rPr>
        <w:t>. Madame Boisvert est actuellement vice-présidente responsable des affaires publiques à la Caisse de dépôt et placement du Québec.</w:t>
      </w:r>
      <w:r w:rsidRPr="00B06BC1">
        <w:rPr>
          <w:rFonts w:eastAsia="Times New Roman" w:cs="Arial"/>
          <w:b/>
          <w:bCs/>
          <w:lang w:eastAsia="fr-CA"/>
        </w:rPr>
        <w:br/>
      </w:r>
      <w:r w:rsidRPr="00B06BC1">
        <w:rPr>
          <w:rFonts w:eastAsia="Times New Roman" w:cs="Arial"/>
          <w:b/>
          <w:bCs/>
          <w:lang w:eastAsia="fr-CA"/>
        </w:rPr>
        <w:br/>
        <w:t>Louise Fréchette</w:t>
      </w:r>
      <w:r w:rsidRPr="00B06BC1">
        <w:rPr>
          <w:rFonts w:eastAsia="Times New Roman" w:cs="Arial"/>
          <w:lang w:eastAsia="fr-CA"/>
        </w:rPr>
        <w:t>, OC., diplômée de l’Université de Montréal et diplomate de carrière. Madame Fréchette a été sous-ministre à la Défense nationale et vice-secrétaire générale de l’Organisation des Nations unies.</w:t>
      </w:r>
    </w:p>
    <w:p w14:paraId="217C928C" w14:textId="77777777" w:rsidR="00D303F9" w:rsidRPr="00B06BC1" w:rsidRDefault="00D303F9" w:rsidP="00D303F9">
      <w:pPr>
        <w:spacing w:after="120" w:line="240" w:lineRule="auto"/>
        <w:outlineLvl w:val="1"/>
        <w:rPr>
          <w:rFonts w:eastAsia="Times New Roman" w:cs="Arial"/>
          <w:b/>
          <w:bCs/>
          <w:lang w:eastAsia="fr-CA"/>
        </w:rPr>
      </w:pPr>
    </w:p>
    <w:p w14:paraId="430ED016" w14:textId="77777777" w:rsidR="00D303F9" w:rsidRPr="00B06BC1" w:rsidRDefault="00D303F9" w:rsidP="00D303F9">
      <w:pPr>
        <w:spacing w:after="120" w:line="240" w:lineRule="auto"/>
        <w:outlineLvl w:val="1"/>
        <w:rPr>
          <w:rFonts w:eastAsia="Times New Roman" w:cs="Arial"/>
          <w:b/>
          <w:bCs/>
          <w:lang w:eastAsia="fr-CA"/>
        </w:rPr>
      </w:pPr>
      <w:r w:rsidRPr="00B06BC1">
        <w:rPr>
          <w:rFonts w:eastAsia="Times New Roman" w:cs="Arial"/>
          <w:b/>
          <w:bCs/>
          <w:lang w:eastAsia="fr-CA"/>
        </w:rPr>
        <w:t>Représentants de l’Université de Montréal</w:t>
      </w:r>
    </w:p>
    <w:p w14:paraId="0D32637C" w14:textId="0A06FCB4" w:rsidR="008A519F" w:rsidRDefault="008A519F" w:rsidP="008A519F">
      <w:pPr>
        <w:spacing w:after="120" w:line="336" w:lineRule="atLeast"/>
        <w:rPr>
          <w:rFonts w:eastAsia="Times New Roman" w:cs="Times New Roman"/>
        </w:rPr>
      </w:pPr>
      <w:r w:rsidRPr="00B65F84">
        <w:rPr>
          <w:rFonts w:eastAsia="Times New Roman" w:cs="Arial"/>
          <w:b/>
          <w:bCs/>
          <w:lang w:eastAsia="fr-CA"/>
        </w:rPr>
        <w:t>Kari</w:t>
      </w:r>
      <w:r w:rsidRPr="00745D7C">
        <w:rPr>
          <w:rFonts w:eastAsia="Times New Roman" w:cs="Arial"/>
          <w:b/>
          <w:bCs/>
          <w:lang w:eastAsia="fr-CA"/>
        </w:rPr>
        <w:t>m Benyekhlef</w:t>
      </w:r>
      <w:r w:rsidRPr="00745D7C">
        <w:rPr>
          <w:rFonts w:eastAsia="Times New Roman" w:cs="Arial"/>
          <w:lang w:eastAsia="fr-CA"/>
        </w:rPr>
        <w:t>, directeur du Centre de recherche en droit public (CRDP) depuis 2006. Membre du Barreau du Québec depuis 1985, il a exercé au sein du ministère fédéral de la Justice de 1986 à 1989. Il a été le directeur scientifique du CÉRIUM de 2009 à 2012. Il est profess</w:t>
      </w:r>
      <w:r w:rsidRPr="008A519F">
        <w:rPr>
          <w:rFonts w:eastAsia="Times New Roman" w:cs="Arial"/>
          <w:lang w:eastAsia="fr-CA"/>
        </w:rPr>
        <w:t>eur à la Faculté de droit.</w:t>
      </w:r>
    </w:p>
    <w:p w14:paraId="5517654E" w14:textId="5F1C0DBD" w:rsidR="00DD6B61" w:rsidRPr="008A519F" w:rsidRDefault="00DD6B61" w:rsidP="008A519F">
      <w:pPr>
        <w:spacing w:after="120" w:line="336" w:lineRule="atLeast"/>
        <w:rPr>
          <w:rFonts w:eastAsia="Times New Roman" w:cs="Arial"/>
          <w:lang w:eastAsia="fr-CA"/>
        </w:rPr>
      </w:pPr>
      <w:r w:rsidRPr="00C33F2B">
        <w:rPr>
          <w:rFonts w:eastAsia="Times New Roman" w:cs="Times New Roman"/>
          <w:b/>
        </w:rPr>
        <w:t>Jean-François Gaudreault-Desbien</w:t>
      </w:r>
      <w:r w:rsidR="008A519F" w:rsidRPr="00C33F2B">
        <w:rPr>
          <w:rFonts w:eastAsia="Times New Roman" w:cs="Times New Roman"/>
          <w:b/>
        </w:rPr>
        <w:t>s</w:t>
      </w:r>
      <w:r w:rsidR="008A519F">
        <w:rPr>
          <w:rFonts w:eastAsia="Times New Roman" w:cs="Times New Roman"/>
        </w:rPr>
        <w:t xml:space="preserve">, </w:t>
      </w:r>
      <w:r w:rsidR="008A519F" w:rsidRPr="008A519F">
        <w:rPr>
          <w:rFonts w:eastAsia="Times New Roman" w:cs="Times New Roman"/>
        </w:rPr>
        <w:t xml:space="preserve">doyen de la Faculté de droit. </w:t>
      </w:r>
      <w:r w:rsidR="008A519F">
        <w:rPr>
          <w:rFonts w:eastAsia="Times New Roman" w:cs="Times New Roman"/>
        </w:rPr>
        <w:t>Membre des barreaux du Québec et du Haut-Canada (Ontario), i</w:t>
      </w:r>
      <w:r w:rsidR="008A519F" w:rsidRPr="008A519F">
        <w:rPr>
          <w:rFonts w:eastAsia="Times New Roman" w:cs="Times New Roman"/>
        </w:rPr>
        <w:t>l est également titulaire de la Chaire de recherche du Canada sur les identités juridiques et culturelles nord-américaines et comparées.</w:t>
      </w:r>
    </w:p>
    <w:p w14:paraId="466E16E1" w14:textId="2F977EFF" w:rsidR="00D303F9" w:rsidRDefault="00D303F9" w:rsidP="00D303F9">
      <w:pPr>
        <w:spacing w:after="120" w:line="336" w:lineRule="atLeast"/>
        <w:rPr>
          <w:rFonts w:eastAsia="Times New Roman" w:cs="Arial"/>
          <w:lang w:eastAsia="fr-CA"/>
        </w:rPr>
      </w:pPr>
      <w:r w:rsidRPr="008A519F">
        <w:rPr>
          <w:rFonts w:eastAsia="Times New Roman" w:cs="Arial"/>
          <w:b/>
          <w:bCs/>
          <w:lang w:eastAsia="fr-CA"/>
        </w:rPr>
        <w:t>Ja</w:t>
      </w:r>
      <w:r w:rsidRPr="00745D7C">
        <w:rPr>
          <w:rFonts w:eastAsia="Times New Roman" w:cs="Arial"/>
          <w:b/>
          <w:bCs/>
          <w:lang w:eastAsia="fr-CA"/>
        </w:rPr>
        <w:t>ne Jenson</w:t>
      </w:r>
      <w:r w:rsidRPr="00745D7C">
        <w:rPr>
          <w:rFonts w:eastAsia="Times New Roman" w:cs="Arial"/>
          <w:lang w:eastAsia="fr-CA"/>
        </w:rPr>
        <w:t xml:space="preserve">, titulaire de la </w:t>
      </w:r>
      <w:r w:rsidRPr="008A519F">
        <w:rPr>
          <w:rFonts w:eastAsia="Times New Roman" w:cs="Arial"/>
          <w:lang w:eastAsia="fr-CA"/>
        </w:rPr>
        <w:t xml:space="preserve">Chaire de recherche du Canada en Citoyenneté et gouvernance et membre du </w:t>
      </w:r>
      <w:hyperlink r:id="rId16" w:tgtFrame="_blank" w:history="1">
        <w:r w:rsidRPr="008A519F">
          <w:rPr>
            <w:rFonts w:eastAsia="Times New Roman" w:cs="Arial"/>
            <w:lang w:eastAsia="fr-CA"/>
          </w:rPr>
          <w:t>Centre d’excellence sur l’Union européenne (CEUE)</w:t>
        </w:r>
      </w:hyperlink>
      <w:r w:rsidRPr="008A519F">
        <w:rPr>
          <w:rFonts w:eastAsia="Times New Roman" w:cs="Arial"/>
          <w:lang w:eastAsia="fr-CA"/>
        </w:rPr>
        <w:t>, et professeure au Département de science politique.</w:t>
      </w:r>
    </w:p>
    <w:p w14:paraId="62F2A455" w14:textId="61455437" w:rsidR="008A519F" w:rsidRPr="008A519F" w:rsidRDefault="008A519F" w:rsidP="008A519F">
      <w:pPr>
        <w:spacing w:after="120" w:line="336" w:lineRule="atLeast"/>
        <w:rPr>
          <w:rFonts w:eastAsia="Times New Roman" w:cs="Arial"/>
          <w:lang w:eastAsia="fr-CA"/>
        </w:rPr>
      </w:pPr>
      <w:r w:rsidRPr="00745D7C">
        <w:rPr>
          <w:rFonts w:eastAsia="Times New Roman" w:cs="Arial"/>
          <w:b/>
          <w:bCs/>
          <w:lang w:eastAsia="fr-CA"/>
        </w:rPr>
        <w:t>Guy Lefebvre</w:t>
      </w:r>
      <w:r w:rsidRPr="00745D7C">
        <w:rPr>
          <w:rFonts w:eastAsia="Times New Roman" w:cs="Arial"/>
          <w:lang w:eastAsia="fr-CA"/>
        </w:rPr>
        <w:t>, vice-recteur aux relations internationales et à la Francophonie depuis 2014. Il est une autorité dans le domaine du droit des transactions commerciales internationales et est fortement impliqué dans différents projets internationaux liés à son champ d’expertise et au domaine de l’éducation. Il agit régulièrement à</w:t>
      </w:r>
      <w:r w:rsidRPr="008A519F">
        <w:rPr>
          <w:rFonts w:eastAsia="Times New Roman" w:cs="Arial"/>
          <w:lang w:eastAsia="fr-CA"/>
        </w:rPr>
        <w:t xml:space="preserve"> titre d’expert sur les questions de contrats internationaux auprès de nombreuses organisations nationales et internationales.</w:t>
      </w:r>
    </w:p>
    <w:p w14:paraId="17B3ACA3" w14:textId="77777777" w:rsidR="008A519F" w:rsidRDefault="008A519F" w:rsidP="00D303F9">
      <w:pPr>
        <w:spacing w:after="120" w:line="336" w:lineRule="atLeast"/>
        <w:rPr>
          <w:rFonts w:eastAsia="Times New Roman" w:cs="Arial"/>
          <w:lang w:eastAsia="fr-CA"/>
        </w:rPr>
      </w:pPr>
    </w:p>
    <w:p w14:paraId="60B44703" w14:textId="77777777" w:rsidR="00465317" w:rsidRDefault="00465317" w:rsidP="00D303F9">
      <w:pPr>
        <w:spacing w:after="120" w:line="336" w:lineRule="atLeast"/>
        <w:rPr>
          <w:rFonts w:eastAsia="Times New Roman" w:cs="Arial"/>
          <w:lang w:eastAsia="fr-CA"/>
        </w:rPr>
      </w:pPr>
    </w:p>
    <w:p w14:paraId="19A34658" w14:textId="77777777" w:rsidR="00465317" w:rsidRDefault="00465317" w:rsidP="00D303F9">
      <w:pPr>
        <w:spacing w:after="120" w:line="336" w:lineRule="atLeast"/>
        <w:rPr>
          <w:rFonts w:eastAsia="Times New Roman" w:cs="Arial"/>
          <w:lang w:eastAsia="fr-CA"/>
        </w:rPr>
      </w:pPr>
    </w:p>
    <w:p w14:paraId="0D66574F" w14:textId="77777777" w:rsidR="008A519F" w:rsidRPr="008A519F" w:rsidRDefault="008A519F" w:rsidP="008A519F">
      <w:pPr>
        <w:spacing w:after="120" w:line="336" w:lineRule="atLeast"/>
        <w:rPr>
          <w:rFonts w:eastAsia="Times New Roman" w:cs="Times New Roman"/>
        </w:rPr>
      </w:pPr>
      <w:r w:rsidRPr="00B65F84">
        <w:rPr>
          <w:rFonts w:eastAsia="Times New Roman" w:cs="Arial"/>
          <w:b/>
          <w:bCs/>
          <w:lang w:eastAsia="fr-CA"/>
        </w:rPr>
        <w:t>Tania S</w:t>
      </w:r>
      <w:r w:rsidRPr="00745D7C">
        <w:rPr>
          <w:rFonts w:eastAsia="Times New Roman" w:cs="Arial"/>
          <w:b/>
          <w:bCs/>
          <w:lang w:eastAsia="fr-CA"/>
        </w:rPr>
        <w:t>aba</w:t>
      </w:r>
      <w:r w:rsidRPr="00745D7C">
        <w:rPr>
          <w:rFonts w:eastAsia="Times New Roman" w:cs="Arial"/>
          <w:lang w:eastAsia="fr-CA"/>
        </w:rPr>
        <w:t xml:space="preserve">, doyenne par intérim de la Faculté des arts et des sciences. Madame Saba est </w:t>
      </w:r>
      <w:r w:rsidRPr="008A519F">
        <w:rPr>
          <w:rFonts w:eastAsia="Times New Roman" w:cs="Arial"/>
          <w:lang w:eastAsia="fr-CA"/>
        </w:rPr>
        <w:t xml:space="preserve">professeure titulaire à l'École de relations industrielles dont elle été directrice de 2008 à 2010 et </w:t>
      </w:r>
      <w:r w:rsidRPr="008A519F">
        <w:rPr>
          <w:rFonts w:eastAsia="Times New Roman" w:cs="Times New Roman"/>
        </w:rPr>
        <w:t>chercheuse affiliée au Centre de recherche interuniversitaire sur la mondialisation du travail.</w:t>
      </w:r>
    </w:p>
    <w:p w14:paraId="1977362F" w14:textId="3DC83E52" w:rsidR="002F293A" w:rsidRDefault="002F293A">
      <w:pPr>
        <w:rPr>
          <w:rFonts w:eastAsia="Times New Roman" w:cs="Arial"/>
          <w:lang w:eastAsia="fr-CA"/>
        </w:rPr>
      </w:pPr>
      <w:r>
        <w:rPr>
          <w:rFonts w:eastAsia="Times New Roman" w:cs="Arial"/>
          <w:lang w:eastAsia="fr-CA"/>
        </w:rPr>
        <w:br w:type="page"/>
      </w:r>
    </w:p>
    <w:p w14:paraId="08709DF8" w14:textId="77777777" w:rsidR="00D303F9" w:rsidRPr="00B06BC1" w:rsidRDefault="00D303F9" w:rsidP="00F10BE4">
      <w:pPr>
        <w:rPr>
          <w:b/>
          <w:color w:val="00487D"/>
        </w:rPr>
      </w:pPr>
    </w:p>
    <w:p w14:paraId="6368D99B" w14:textId="77777777" w:rsidR="00D303F9" w:rsidRPr="00B06BC1" w:rsidRDefault="00D303F9" w:rsidP="00D303F9">
      <w:pPr>
        <w:jc w:val="center"/>
        <w:rPr>
          <w:b/>
          <w:color w:val="00487D"/>
        </w:rPr>
      </w:pPr>
      <w:r w:rsidRPr="00B06BC1">
        <w:rPr>
          <w:b/>
          <w:color w:val="00487D"/>
        </w:rPr>
        <w:t>Équipe du CÉRIUM</w:t>
      </w:r>
    </w:p>
    <w:p w14:paraId="4870F716" w14:textId="77777777" w:rsidR="00D303F9" w:rsidRPr="00B06BC1" w:rsidRDefault="00D303F9" w:rsidP="00D303F9">
      <w:pPr>
        <w:pStyle w:val="Titre2"/>
        <w:rPr>
          <w:rFonts w:asciiTheme="minorHAnsi" w:hAnsiTheme="minorHAnsi" w:cs="Arial"/>
          <w:sz w:val="22"/>
          <w:szCs w:val="22"/>
        </w:rPr>
      </w:pPr>
    </w:p>
    <w:p w14:paraId="30C3D06C" w14:textId="77777777" w:rsidR="00D303F9" w:rsidRPr="00B06BC1" w:rsidRDefault="00D303F9" w:rsidP="00D303F9">
      <w:pPr>
        <w:pStyle w:val="Titre2"/>
        <w:rPr>
          <w:rFonts w:asciiTheme="minorHAnsi" w:hAnsiTheme="minorHAnsi" w:cs="Arial"/>
          <w:sz w:val="22"/>
          <w:szCs w:val="22"/>
        </w:rPr>
      </w:pPr>
      <w:r w:rsidRPr="00B06BC1">
        <w:rPr>
          <w:rFonts w:asciiTheme="minorHAnsi" w:hAnsiTheme="minorHAnsi" w:cs="Arial"/>
          <w:sz w:val="22"/>
          <w:szCs w:val="22"/>
        </w:rPr>
        <w:t>Directeur</w:t>
      </w:r>
    </w:p>
    <w:p w14:paraId="631F995F" w14:textId="54CC639B" w:rsidR="00D303F9" w:rsidRPr="00F539E5" w:rsidRDefault="00D303F9" w:rsidP="00D303F9">
      <w:pPr>
        <w:spacing w:before="150" w:after="150" w:line="336" w:lineRule="atLeast"/>
        <w:rPr>
          <w:rFonts w:eastAsia="Times New Roman" w:cs="Arial"/>
          <w:lang w:eastAsia="fr-CA"/>
        </w:rPr>
      </w:pPr>
      <w:r w:rsidRPr="00B06BC1">
        <w:rPr>
          <w:rFonts w:eastAsia="Times New Roman" w:cs="Arial"/>
          <w:b/>
          <w:bCs/>
          <w:lang w:eastAsia="fr-CA"/>
        </w:rPr>
        <w:t xml:space="preserve">Frédéric </w:t>
      </w:r>
      <w:proofErr w:type="spellStart"/>
      <w:r w:rsidRPr="00B06BC1">
        <w:rPr>
          <w:rFonts w:eastAsia="Times New Roman" w:cs="Arial"/>
          <w:b/>
          <w:bCs/>
          <w:lang w:eastAsia="fr-CA"/>
        </w:rPr>
        <w:t>Mérand</w:t>
      </w:r>
      <w:proofErr w:type="spellEnd"/>
      <w:r w:rsidRPr="00B06BC1">
        <w:rPr>
          <w:rFonts w:eastAsia="Times New Roman" w:cs="Arial"/>
          <w:lang w:eastAsia="fr-CA"/>
        </w:rPr>
        <w:t xml:space="preserve"> (Ph. D., Berkeley) est professeur agrégé du Département de</w:t>
      </w:r>
      <w:r w:rsidR="001E2868" w:rsidRPr="00B06BC1">
        <w:rPr>
          <w:rFonts w:eastAsia="Times New Roman" w:cs="Arial"/>
          <w:lang w:eastAsia="fr-CA"/>
        </w:rPr>
        <w:t xml:space="preserve"> </w:t>
      </w:r>
      <w:r w:rsidRPr="00B06BC1">
        <w:rPr>
          <w:rFonts w:eastAsia="Times New Roman" w:cs="Arial"/>
          <w:lang w:eastAsia="fr-CA"/>
        </w:rPr>
        <w:t>science politique à l’Université de Montréal. Après avoir travaillé comme conseiller en politiques au ministère des Affaires étrangères et du Commerce international, il a occupé plusieurs fonctions à l’Université de Montréal, dont celles de directeur du Centre d’études sur la paix et la sécurité internationale et de directeur du programme de maîtrise en science politique. Il demeure responsable du Centre d’excellence sur l’Union européenne.</w:t>
      </w:r>
      <w:r w:rsidRPr="00B06BC1">
        <w:rPr>
          <w:rFonts w:eastAsia="Times New Roman" w:cs="Arial"/>
          <w:lang w:eastAsia="fr-CA"/>
        </w:rPr>
        <w:br/>
      </w:r>
      <w:r w:rsidRPr="00B06BC1">
        <w:rPr>
          <w:rFonts w:eastAsia="Times New Roman" w:cs="Arial"/>
          <w:lang w:eastAsia="fr-CA"/>
        </w:rPr>
        <w:br/>
        <w:t xml:space="preserve">Auteur de 4 ouvrages sur la sécurité européenne, les politiques de défense et l’Union européenne, dont </w:t>
      </w:r>
      <w:proofErr w:type="spellStart"/>
      <w:r w:rsidRPr="00B06BC1">
        <w:rPr>
          <w:rFonts w:eastAsia="Times New Roman" w:cs="Arial"/>
          <w:i/>
          <w:iCs/>
          <w:lang w:eastAsia="fr-CA"/>
        </w:rPr>
        <w:t>European</w:t>
      </w:r>
      <w:proofErr w:type="spellEnd"/>
      <w:r w:rsidRPr="00B06BC1">
        <w:rPr>
          <w:rFonts w:eastAsia="Times New Roman" w:cs="Arial"/>
          <w:i/>
          <w:iCs/>
          <w:lang w:eastAsia="fr-CA"/>
        </w:rPr>
        <w:t xml:space="preserve"> </w:t>
      </w:r>
      <w:proofErr w:type="spellStart"/>
      <w:r w:rsidRPr="00B06BC1">
        <w:rPr>
          <w:rFonts w:eastAsia="Times New Roman" w:cs="Arial"/>
          <w:i/>
          <w:iCs/>
          <w:lang w:eastAsia="fr-CA"/>
        </w:rPr>
        <w:t>Defence</w:t>
      </w:r>
      <w:proofErr w:type="spellEnd"/>
      <w:r w:rsidRPr="00B06BC1">
        <w:rPr>
          <w:rFonts w:eastAsia="Times New Roman" w:cs="Arial"/>
          <w:i/>
          <w:iCs/>
          <w:lang w:eastAsia="fr-CA"/>
        </w:rPr>
        <w:t xml:space="preserve"> Policy: Beyond the Nation State</w:t>
      </w:r>
      <w:r w:rsidRPr="00B06BC1">
        <w:rPr>
          <w:rFonts w:eastAsia="Times New Roman" w:cs="Arial"/>
          <w:lang w:eastAsia="fr-CA"/>
        </w:rPr>
        <w:t xml:space="preserve"> paru aux Oxford </w:t>
      </w:r>
      <w:proofErr w:type="spellStart"/>
      <w:r w:rsidRPr="00B06BC1">
        <w:rPr>
          <w:rFonts w:eastAsia="Times New Roman" w:cs="Arial"/>
          <w:lang w:eastAsia="fr-CA"/>
        </w:rPr>
        <w:t>University</w:t>
      </w:r>
      <w:proofErr w:type="spellEnd"/>
      <w:r w:rsidRPr="00B06BC1">
        <w:rPr>
          <w:rFonts w:eastAsia="Times New Roman" w:cs="Arial"/>
          <w:lang w:eastAsia="fr-CA"/>
        </w:rPr>
        <w:t xml:space="preserve"> </w:t>
      </w:r>
      <w:proofErr w:type="spellStart"/>
      <w:r w:rsidRPr="00B06BC1">
        <w:rPr>
          <w:rFonts w:eastAsia="Times New Roman" w:cs="Arial"/>
          <w:lang w:eastAsia="fr-CA"/>
        </w:rPr>
        <w:t>Press</w:t>
      </w:r>
      <w:proofErr w:type="spellEnd"/>
      <w:r w:rsidRPr="00B06BC1">
        <w:rPr>
          <w:rFonts w:eastAsia="Times New Roman" w:cs="Arial"/>
          <w:lang w:eastAsia="fr-CA"/>
        </w:rPr>
        <w:t xml:space="preserve"> en 2008, ses travaux ont été publiés dans </w:t>
      </w:r>
      <w:r w:rsidRPr="00B06BC1">
        <w:rPr>
          <w:rFonts w:eastAsia="Times New Roman" w:cs="Arial"/>
          <w:i/>
          <w:iCs/>
          <w:lang w:eastAsia="fr-CA"/>
        </w:rPr>
        <w:t xml:space="preserve">West </w:t>
      </w:r>
      <w:proofErr w:type="spellStart"/>
      <w:r w:rsidRPr="00B06BC1">
        <w:rPr>
          <w:rFonts w:eastAsia="Times New Roman" w:cs="Arial"/>
          <w:i/>
          <w:iCs/>
          <w:lang w:eastAsia="fr-CA"/>
        </w:rPr>
        <w:t>European</w:t>
      </w:r>
      <w:proofErr w:type="spellEnd"/>
      <w:r w:rsidRPr="00B06BC1">
        <w:rPr>
          <w:rFonts w:eastAsia="Times New Roman" w:cs="Arial"/>
          <w:i/>
          <w:iCs/>
          <w:lang w:eastAsia="fr-CA"/>
        </w:rPr>
        <w:t xml:space="preserve"> </w:t>
      </w:r>
      <w:proofErr w:type="spellStart"/>
      <w:r w:rsidRPr="00B06BC1">
        <w:rPr>
          <w:rFonts w:eastAsia="Times New Roman" w:cs="Arial"/>
          <w:i/>
          <w:iCs/>
          <w:lang w:eastAsia="fr-CA"/>
        </w:rPr>
        <w:t>Politics</w:t>
      </w:r>
      <w:proofErr w:type="spellEnd"/>
      <w:r w:rsidRPr="00B06BC1">
        <w:rPr>
          <w:rFonts w:eastAsia="Times New Roman" w:cs="Arial"/>
          <w:lang w:eastAsia="fr-CA"/>
        </w:rPr>
        <w:t xml:space="preserve">, </w:t>
      </w:r>
      <w:proofErr w:type="spellStart"/>
      <w:r w:rsidR="001E2868" w:rsidRPr="008A519F">
        <w:rPr>
          <w:rFonts w:eastAsia="Times New Roman" w:cs="Arial"/>
          <w:i/>
          <w:lang w:eastAsia="fr-CA"/>
        </w:rPr>
        <w:t>European</w:t>
      </w:r>
      <w:proofErr w:type="spellEnd"/>
      <w:r w:rsidR="001E2868" w:rsidRPr="008A519F">
        <w:rPr>
          <w:rFonts w:eastAsia="Times New Roman" w:cs="Arial"/>
          <w:i/>
          <w:lang w:eastAsia="fr-CA"/>
        </w:rPr>
        <w:t xml:space="preserve"> Journal of </w:t>
      </w:r>
      <w:proofErr w:type="spellStart"/>
      <w:r w:rsidR="001E2868" w:rsidRPr="008A519F">
        <w:rPr>
          <w:rFonts w:eastAsia="Times New Roman" w:cs="Arial"/>
          <w:i/>
          <w:lang w:eastAsia="fr-CA"/>
        </w:rPr>
        <w:t>Political</w:t>
      </w:r>
      <w:proofErr w:type="spellEnd"/>
      <w:r w:rsidR="001E2868" w:rsidRPr="008A519F">
        <w:rPr>
          <w:rFonts w:eastAsia="Times New Roman" w:cs="Arial"/>
          <w:i/>
          <w:lang w:eastAsia="fr-CA"/>
        </w:rPr>
        <w:t xml:space="preserve"> </w:t>
      </w:r>
      <w:proofErr w:type="spellStart"/>
      <w:r w:rsidR="001E2868" w:rsidRPr="008A519F">
        <w:rPr>
          <w:rFonts w:eastAsia="Times New Roman" w:cs="Arial"/>
          <w:i/>
          <w:lang w:eastAsia="fr-CA"/>
        </w:rPr>
        <w:t>Research</w:t>
      </w:r>
      <w:proofErr w:type="spellEnd"/>
      <w:r w:rsidR="001E2868" w:rsidRPr="00995731">
        <w:rPr>
          <w:rFonts w:eastAsia="Times New Roman" w:cs="Arial"/>
          <w:i/>
          <w:lang w:eastAsia="fr-CA"/>
        </w:rPr>
        <w:t>,</w:t>
      </w:r>
      <w:r w:rsidR="001E2868" w:rsidRPr="00745D7C">
        <w:rPr>
          <w:rFonts w:eastAsia="Times New Roman" w:cs="Arial"/>
          <w:lang w:eastAsia="fr-CA"/>
        </w:rPr>
        <w:t xml:space="preserve"> </w:t>
      </w:r>
      <w:r w:rsidRPr="00745D7C">
        <w:rPr>
          <w:rFonts w:eastAsia="Times New Roman" w:cs="Arial"/>
          <w:i/>
          <w:iCs/>
          <w:lang w:eastAsia="fr-CA"/>
        </w:rPr>
        <w:t xml:space="preserve">Security </w:t>
      </w:r>
      <w:proofErr w:type="spellStart"/>
      <w:r w:rsidRPr="00745D7C">
        <w:rPr>
          <w:rFonts w:eastAsia="Times New Roman" w:cs="Arial"/>
          <w:i/>
          <w:iCs/>
          <w:lang w:eastAsia="fr-CA"/>
        </w:rPr>
        <w:t>Studies</w:t>
      </w:r>
      <w:proofErr w:type="spellEnd"/>
      <w:r w:rsidRPr="00745D7C">
        <w:rPr>
          <w:rFonts w:eastAsia="Times New Roman" w:cs="Arial"/>
          <w:lang w:eastAsia="fr-CA"/>
        </w:rPr>
        <w:t xml:space="preserve">, le </w:t>
      </w:r>
      <w:r w:rsidRPr="008A519F">
        <w:rPr>
          <w:rFonts w:eastAsia="Times New Roman" w:cs="Arial"/>
          <w:i/>
          <w:iCs/>
          <w:lang w:eastAsia="fr-CA"/>
        </w:rPr>
        <w:t xml:space="preserve">Journal of Common </w:t>
      </w:r>
      <w:proofErr w:type="spellStart"/>
      <w:r w:rsidRPr="008A519F">
        <w:rPr>
          <w:rFonts w:eastAsia="Times New Roman" w:cs="Arial"/>
          <w:i/>
          <w:iCs/>
          <w:lang w:eastAsia="fr-CA"/>
        </w:rPr>
        <w:t>Market</w:t>
      </w:r>
      <w:proofErr w:type="spellEnd"/>
      <w:r w:rsidRPr="008A519F">
        <w:rPr>
          <w:rFonts w:eastAsia="Times New Roman" w:cs="Arial"/>
          <w:i/>
          <w:iCs/>
          <w:lang w:eastAsia="fr-CA"/>
        </w:rPr>
        <w:t xml:space="preserve"> </w:t>
      </w:r>
      <w:proofErr w:type="spellStart"/>
      <w:r w:rsidRPr="008A519F">
        <w:rPr>
          <w:rFonts w:eastAsia="Times New Roman" w:cs="Arial"/>
          <w:i/>
          <w:iCs/>
          <w:lang w:eastAsia="fr-CA"/>
        </w:rPr>
        <w:t>Studies</w:t>
      </w:r>
      <w:proofErr w:type="spellEnd"/>
      <w:r w:rsidRPr="008A519F">
        <w:rPr>
          <w:rFonts w:eastAsia="Times New Roman" w:cs="Arial"/>
          <w:lang w:eastAsia="fr-CA"/>
        </w:rPr>
        <w:t xml:space="preserve">, </w:t>
      </w:r>
      <w:proofErr w:type="spellStart"/>
      <w:r w:rsidRPr="008A519F">
        <w:rPr>
          <w:rFonts w:eastAsia="Times New Roman" w:cs="Arial"/>
          <w:i/>
          <w:iCs/>
          <w:lang w:eastAsia="fr-CA"/>
        </w:rPr>
        <w:t>Cooperation</w:t>
      </w:r>
      <w:proofErr w:type="spellEnd"/>
      <w:r w:rsidRPr="008A519F">
        <w:rPr>
          <w:rFonts w:eastAsia="Times New Roman" w:cs="Arial"/>
          <w:i/>
          <w:iCs/>
          <w:lang w:eastAsia="fr-CA"/>
        </w:rPr>
        <w:t xml:space="preserve"> and </w:t>
      </w:r>
      <w:proofErr w:type="spellStart"/>
      <w:r w:rsidRPr="008A519F">
        <w:rPr>
          <w:rFonts w:eastAsia="Times New Roman" w:cs="Arial"/>
          <w:i/>
          <w:iCs/>
          <w:lang w:eastAsia="fr-CA"/>
        </w:rPr>
        <w:t>Conflict</w:t>
      </w:r>
      <w:proofErr w:type="spellEnd"/>
      <w:r w:rsidRPr="008A519F">
        <w:rPr>
          <w:rFonts w:eastAsia="Times New Roman" w:cs="Arial"/>
          <w:lang w:eastAsia="fr-CA"/>
        </w:rPr>
        <w:t xml:space="preserve">, la </w:t>
      </w:r>
      <w:r w:rsidRPr="008A519F">
        <w:rPr>
          <w:rFonts w:eastAsia="Times New Roman" w:cs="Arial"/>
          <w:i/>
          <w:iCs/>
          <w:lang w:eastAsia="fr-CA"/>
        </w:rPr>
        <w:t>Revue canadienne de science politique</w:t>
      </w:r>
      <w:r w:rsidRPr="008A519F">
        <w:rPr>
          <w:rFonts w:eastAsia="Times New Roman" w:cs="Arial"/>
          <w:lang w:eastAsia="fr-CA"/>
        </w:rPr>
        <w:t xml:space="preserve">, le </w:t>
      </w:r>
      <w:r w:rsidRPr="008A519F">
        <w:rPr>
          <w:rFonts w:eastAsia="Times New Roman" w:cs="Arial"/>
          <w:i/>
          <w:iCs/>
          <w:lang w:eastAsia="fr-CA"/>
        </w:rPr>
        <w:t>International Journal</w:t>
      </w:r>
      <w:r w:rsidRPr="008A519F">
        <w:rPr>
          <w:rFonts w:eastAsia="Times New Roman" w:cs="Arial"/>
          <w:lang w:eastAsia="fr-CA"/>
        </w:rPr>
        <w:t xml:space="preserve">, </w:t>
      </w:r>
      <w:proofErr w:type="spellStart"/>
      <w:r w:rsidRPr="008A519F">
        <w:rPr>
          <w:rFonts w:eastAsia="Times New Roman" w:cs="Arial"/>
          <w:i/>
          <w:iCs/>
          <w:lang w:eastAsia="fr-CA"/>
        </w:rPr>
        <w:t>European</w:t>
      </w:r>
      <w:proofErr w:type="spellEnd"/>
      <w:r w:rsidRPr="008A519F">
        <w:rPr>
          <w:rFonts w:eastAsia="Times New Roman" w:cs="Arial"/>
          <w:i/>
          <w:iCs/>
          <w:lang w:eastAsia="fr-CA"/>
        </w:rPr>
        <w:t xml:space="preserve"> Security</w:t>
      </w:r>
      <w:r w:rsidRPr="008A519F">
        <w:rPr>
          <w:rFonts w:eastAsia="Times New Roman" w:cs="Arial"/>
          <w:lang w:eastAsia="fr-CA"/>
        </w:rPr>
        <w:t xml:space="preserve">, et </w:t>
      </w:r>
      <w:r w:rsidRPr="008A519F">
        <w:rPr>
          <w:rFonts w:eastAsia="Times New Roman" w:cs="Arial"/>
          <w:i/>
          <w:iCs/>
          <w:lang w:eastAsia="fr-CA"/>
        </w:rPr>
        <w:t xml:space="preserve">Comparative </w:t>
      </w:r>
      <w:proofErr w:type="spellStart"/>
      <w:r w:rsidRPr="008A519F">
        <w:rPr>
          <w:rFonts w:eastAsia="Times New Roman" w:cs="Arial"/>
          <w:i/>
          <w:iCs/>
          <w:lang w:eastAsia="fr-CA"/>
        </w:rPr>
        <w:t>European</w:t>
      </w:r>
      <w:proofErr w:type="spellEnd"/>
      <w:r w:rsidRPr="008A519F">
        <w:rPr>
          <w:rFonts w:eastAsia="Times New Roman" w:cs="Arial"/>
          <w:i/>
          <w:iCs/>
          <w:lang w:eastAsia="fr-CA"/>
        </w:rPr>
        <w:t xml:space="preserve"> </w:t>
      </w:r>
      <w:proofErr w:type="spellStart"/>
      <w:r w:rsidRPr="008A519F">
        <w:rPr>
          <w:rFonts w:eastAsia="Times New Roman" w:cs="Arial"/>
          <w:i/>
          <w:iCs/>
          <w:lang w:eastAsia="fr-CA"/>
        </w:rPr>
        <w:t>Politics</w:t>
      </w:r>
      <w:proofErr w:type="spellEnd"/>
      <w:r w:rsidRPr="008A519F">
        <w:rPr>
          <w:rFonts w:eastAsia="Times New Roman" w:cs="Arial"/>
          <w:lang w:eastAsia="fr-CA"/>
        </w:rPr>
        <w:t>. Il est</w:t>
      </w:r>
      <w:r w:rsidRPr="00F539E5">
        <w:rPr>
          <w:rFonts w:eastAsia="Times New Roman" w:cs="Arial"/>
          <w:lang w:eastAsia="fr-CA"/>
        </w:rPr>
        <w:t xml:space="preserve"> </w:t>
      </w:r>
      <w:r w:rsidR="001E2868">
        <w:rPr>
          <w:rFonts w:eastAsia="Times New Roman" w:cs="Arial"/>
          <w:lang w:eastAsia="fr-CA"/>
        </w:rPr>
        <w:t xml:space="preserve">président de l’Association d’études sur la Communauté européenne (Canada) et membre du conseil de la </w:t>
      </w:r>
      <w:proofErr w:type="spellStart"/>
      <w:r w:rsidR="001E2868" w:rsidRPr="008A519F">
        <w:rPr>
          <w:rFonts w:eastAsia="Times New Roman" w:cs="Arial"/>
          <w:i/>
          <w:lang w:eastAsia="fr-CA"/>
        </w:rPr>
        <w:t>European</w:t>
      </w:r>
      <w:proofErr w:type="spellEnd"/>
      <w:r w:rsidR="001E2868" w:rsidRPr="008A519F">
        <w:rPr>
          <w:rFonts w:eastAsia="Times New Roman" w:cs="Arial"/>
          <w:i/>
          <w:lang w:eastAsia="fr-CA"/>
        </w:rPr>
        <w:t xml:space="preserve"> Union </w:t>
      </w:r>
      <w:proofErr w:type="spellStart"/>
      <w:r w:rsidR="001E2868" w:rsidRPr="008A519F">
        <w:rPr>
          <w:rFonts w:eastAsia="Times New Roman" w:cs="Arial"/>
          <w:i/>
          <w:lang w:eastAsia="fr-CA"/>
        </w:rPr>
        <w:t>Studies</w:t>
      </w:r>
      <w:proofErr w:type="spellEnd"/>
      <w:r w:rsidR="001E2868" w:rsidRPr="008A519F">
        <w:rPr>
          <w:rFonts w:eastAsia="Times New Roman" w:cs="Arial"/>
          <w:i/>
          <w:lang w:eastAsia="fr-CA"/>
        </w:rPr>
        <w:t xml:space="preserve"> Association</w:t>
      </w:r>
      <w:r w:rsidR="001E2868">
        <w:rPr>
          <w:rFonts w:eastAsia="Times New Roman" w:cs="Arial"/>
          <w:lang w:eastAsia="fr-CA"/>
        </w:rPr>
        <w:t xml:space="preserve"> (</w:t>
      </w:r>
      <w:proofErr w:type="spellStart"/>
      <w:r w:rsidR="001E2868">
        <w:rPr>
          <w:rFonts w:eastAsia="Times New Roman" w:cs="Arial"/>
          <w:lang w:eastAsia="fr-CA"/>
        </w:rPr>
        <w:t>Etats-Unis</w:t>
      </w:r>
      <w:proofErr w:type="spellEnd"/>
      <w:r w:rsidR="001E2868">
        <w:rPr>
          <w:rFonts w:eastAsia="Times New Roman" w:cs="Arial"/>
          <w:lang w:eastAsia="fr-CA"/>
        </w:rPr>
        <w:t>).</w:t>
      </w:r>
    </w:p>
    <w:p w14:paraId="4E4BBF0E" w14:textId="77777777" w:rsidR="00D303F9" w:rsidRPr="00F539E5" w:rsidRDefault="00D303F9" w:rsidP="00D303F9">
      <w:pPr>
        <w:spacing w:before="150" w:after="150" w:line="336" w:lineRule="atLeast"/>
        <w:rPr>
          <w:rFonts w:eastAsia="Times New Roman" w:cs="Arial"/>
          <w:lang w:eastAsia="fr-CA"/>
        </w:rPr>
      </w:pPr>
    </w:p>
    <w:p w14:paraId="4AED6B5B" w14:textId="77777777" w:rsidR="00D303F9" w:rsidRPr="00F539E5" w:rsidRDefault="00D303F9" w:rsidP="00D303F9">
      <w:pPr>
        <w:spacing w:before="100" w:beforeAutospacing="1" w:after="100" w:afterAutospacing="1" w:line="240" w:lineRule="auto"/>
        <w:outlineLvl w:val="0"/>
        <w:rPr>
          <w:rFonts w:eastAsia="Times New Roman" w:cs="Arial"/>
          <w:b/>
          <w:bCs/>
          <w:kern w:val="36"/>
          <w:lang w:eastAsia="fr-CA"/>
        </w:rPr>
      </w:pPr>
      <w:r>
        <w:rPr>
          <w:rFonts w:eastAsia="Times New Roman" w:cs="Arial"/>
          <w:b/>
          <w:bCs/>
          <w:kern w:val="36"/>
          <w:lang w:eastAsia="fr-CA"/>
        </w:rPr>
        <w:t>Collaboratrices</w:t>
      </w:r>
    </w:p>
    <w:p w14:paraId="113C51C9" w14:textId="64627F31" w:rsidR="00D303F9" w:rsidRPr="004B01A2" w:rsidRDefault="00D303F9" w:rsidP="00D303F9">
      <w:pPr>
        <w:spacing w:before="150" w:after="150" w:line="336" w:lineRule="atLeast"/>
        <w:rPr>
          <w:rFonts w:eastAsia="Times New Roman" w:cs="Arial"/>
          <w:lang w:eastAsia="fr-CA"/>
        </w:rPr>
      </w:pPr>
      <w:r w:rsidRPr="00F539E5">
        <w:rPr>
          <w:rFonts w:eastAsia="Times New Roman" w:cs="Arial"/>
          <w:b/>
          <w:bCs/>
          <w:lang w:eastAsia="fr-CA"/>
        </w:rPr>
        <w:t>Michelle Daniel</w:t>
      </w:r>
      <w:r w:rsidRPr="00F539E5">
        <w:rPr>
          <w:rFonts w:eastAsia="Times New Roman" w:cs="Arial"/>
          <w:lang w:eastAsia="fr-CA"/>
        </w:rPr>
        <w:t xml:space="preserve">, coordonnatrice et adjointe </w:t>
      </w:r>
      <w:r w:rsidRPr="00F539E5">
        <w:rPr>
          <w:rFonts w:eastAsia="Times New Roman" w:cs="Arial"/>
          <w:lang w:eastAsia="fr-CA"/>
        </w:rPr>
        <w:br/>
      </w:r>
      <w:r w:rsidRPr="00F539E5">
        <w:rPr>
          <w:rFonts w:eastAsia="Times New Roman" w:cs="Arial"/>
          <w:b/>
          <w:bCs/>
          <w:lang w:eastAsia="fr-CA"/>
        </w:rPr>
        <w:t>Catherine Villemer</w:t>
      </w:r>
      <w:r w:rsidRPr="00F539E5">
        <w:rPr>
          <w:rFonts w:eastAsia="Times New Roman" w:cs="Arial"/>
          <w:lang w:eastAsia="fr-CA"/>
        </w:rPr>
        <w:t xml:space="preserve">, conseillère, relations publiques et partenariats </w:t>
      </w:r>
      <w:r w:rsidR="006C3AC6">
        <w:rPr>
          <w:rFonts w:eastAsia="Times New Roman" w:cs="Arial"/>
          <w:lang w:eastAsia="fr-CA"/>
        </w:rPr>
        <w:t>(jusqu’au printemps 2016</w:t>
      </w:r>
      <w:proofErr w:type="gramStart"/>
      <w:r w:rsidR="005968FE">
        <w:rPr>
          <w:rFonts w:eastAsia="Times New Roman" w:cs="Arial"/>
          <w:lang w:eastAsia="fr-CA"/>
        </w:rPr>
        <w:t>)</w:t>
      </w:r>
      <w:proofErr w:type="gramEnd"/>
      <w:r w:rsidR="005968FE">
        <w:rPr>
          <w:rFonts w:eastAsia="Times New Roman" w:cs="Arial"/>
          <w:lang w:eastAsia="fr-CA"/>
        </w:rPr>
        <w:br/>
      </w:r>
      <w:r w:rsidR="005968FE" w:rsidRPr="004B01A2">
        <w:rPr>
          <w:rFonts w:eastAsia="Times New Roman" w:cs="Arial"/>
          <w:b/>
          <w:lang w:eastAsia="fr-CA"/>
        </w:rPr>
        <w:t xml:space="preserve">Marie-Christine </w:t>
      </w:r>
      <w:r w:rsidR="00E15D88" w:rsidRPr="004B01A2">
        <w:rPr>
          <w:rFonts w:eastAsia="Times New Roman" w:cs="Arial"/>
          <w:b/>
          <w:lang w:eastAsia="fr-CA"/>
        </w:rPr>
        <w:t>Fiset</w:t>
      </w:r>
      <w:r w:rsidR="00E15D88">
        <w:rPr>
          <w:rFonts w:eastAsia="Times New Roman" w:cs="Arial"/>
          <w:lang w:eastAsia="fr-CA"/>
        </w:rPr>
        <w:t xml:space="preserve">, </w:t>
      </w:r>
      <w:r w:rsidR="00E15D88" w:rsidRPr="00F539E5">
        <w:rPr>
          <w:rFonts w:eastAsia="Times New Roman" w:cs="Arial"/>
          <w:lang w:eastAsia="fr-CA"/>
        </w:rPr>
        <w:t xml:space="preserve">conseillère, relations publiques et partenariats </w:t>
      </w:r>
      <w:r w:rsidR="00E15D88">
        <w:rPr>
          <w:rFonts w:eastAsia="Times New Roman" w:cs="Arial"/>
          <w:lang w:eastAsia="fr-CA"/>
        </w:rPr>
        <w:t>(depuis le printemps</w:t>
      </w:r>
      <w:r w:rsidR="006C3AC6">
        <w:rPr>
          <w:rFonts w:eastAsia="Times New Roman" w:cs="Arial"/>
          <w:lang w:eastAsia="fr-CA"/>
        </w:rPr>
        <w:t xml:space="preserve"> 2016</w:t>
      </w:r>
      <w:r w:rsidR="00E15D88">
        <w:rPr>
          <w:rFonts w:eastAsia="Times New Roman" w:cs="Arial"/>
          <w:lang w:eastAsia="fr-CA"/>
        </w:rPr>
        <w:t>)</w:t>
      </w:r>
      <w:r w:rsidRPr="00F539E5">
        <w:rPr>
          <w:rFonts w:eastAsia="Times New Roman" w:cs="Arial"/>
          <w:lang w:eastAsia="fr-CA"/>
        </w:rPr>
        <w:br/>
      </w:r>
      <w:r w:rsidRPr="00F539E5">
        <w:rPr>
          <w:rFonts w:eastAsia="Times New Roman" w:cs="Arial"/>
          <w:b/>
          <w:bCs/>
          <w:lang w:eastAsia="fr-CA"/>
        </w:rPr>
        <w:t xml:space="preserve">Lise Lebeau, </w:t>
      </w:r>
      <w:r w:rsidRPr="00F539E5">
        <w:rPr>
          <w:rFonts w:eastAsia="Times New Roman" w:cs="Arial"/>
          <w:bCs/>
          <w:lang w:eastAsia="fr-CA"/>
        </w:rPr>
        <w:t>responsable des finances</w:t>
      </w:r>
    </w:p>
    <w:p w14:paraId="521A49AF" w14:textId="77777777" w:rsidR="00D303F9" w:rsidRPr="00F539E5" w:rsidRDefault="00D303F9" w:rsidP="00D303F9">
      <w:pPr>
        <w:rPr>
          <w:b/>
          <w:color w:val="00487D"/>
        </w:rPr>
      </w:pPr>
      <w:r w:rsidRPr="00F539E5">
        <w:rPr>
          <w:b/>
          <w:color w:val="00487D"/>
        </w:rPr>
        <w:br w:type="page"/>
      </w:r>
    </w:p>
    <w:p w14:paraId="5589AB38" w14:textId="77777777" w:rsidR="00D303F9" w:rsidRPr="00F539E5" w:rsidRDefault="00D303F9" w:rsidP="00F10BE4">
      <w:pPr>
        <w:rPr>
          <w:b/>
          <w:color w:val="00487D"/>
        </w:rPr>
      </w:pPr>
    </w:p>
    <w:p w14:paraId="1D7A6BB9" w14:textId="77777777" w:rsidR="00D303F9" w:rsidRPr="00F539E5" w:rsidRDefault="00D303F9" w:rsidP="00D303F9">
      <w:pPr>
        <w:jc w:val="center"/>
        <w:rPr>
          <w:b/>
          <w:color w:val="00487D"/>
        </w:rPr>
      </w:pPr>
      <w:r w:rsidRPr="00F539E5">
        <w:rPr>
          <w:b/>
          <w:color w:val="00487D"/>
        </w:rPr>
        <w:t>Bilan financier</w:t>
      </w:r>
    </w:p>
    <w:tbl>
      <w:tblPr>
        <w:tblStyle w:val="Grilledutableau"/>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915"/>
      </w:tblGrid>
      <w:tr w:rsidR="00D303F9" w:rsidRPr="00F539E5" w14:paraId="03EF8CEF" w14:textId="77777777" w:rsidTr="00F6008B">
        <w:trPr>
          <w:trHeight w:val="340"/>
          <w:jc w:val="center"/>
        </w:trPr>
        <w:tc>
          <w:tcPr>
            <w:tcW w:w="6629" w:type="dxa"/>
            <w:vAlign w:val="center"/>
          </w:tcPr>
          <w:p w14:paraId="7C834CA7" w14:textId="77777777" w:rsidR="00D303F9" w:rsidRPr="00F539E5" w:rsidRDefault="00D303F9" w:rsidP="00F6008B">
            <w:pPr>
              <w:rPr>
                <w:b/>
              </w:rPr>
            </w:pPr>
            <w:r w:rsidRPr="00F539E5">
              <w:rPr>
                <w:b/>
              </w:rPr>
              <w:t>Solde au début</w:t>
            </w:r>
          </w:p>
        </w:tc>
        <w:tc>
          <w:tcPr>
            <w:tcW w:w="2915" w:type="dxa"/>
            <w:vAlign w:val="center"/>
          </w:tcPr>
          <w:p w14:paraId="5420A890" w14:textId="4BFBE764" w:rsidR="00D303F9" w:rsidRPr="00F539E5" w:rsidRDefault="00B06BC1" w:rsidP="00F6008B">
            <w:pPr>
              <w:jc w:val="right"/>
              <w:rPr>
                <w:b/>
              </w:rPr>
            </w:pPr>
            <w:r>
              <w:rPr>
                <w:b/>
              </w:rPr>
              <w:t xml:space="preserve">34 829 </w:t>
            </w:r>
            <w:r w:rsidRPr="00F539E5">
              <w:rPr>
                <w:b/>
              </w:rPr>
              <w:t>$</w:t>
            </w:r>
          </w:p>
        </w:tc>
      </w:tr>
    </w:tbl>
    <w:p w14:paraId="17FE6087" w14:textId="77777777" w:rsidR="00D303F9" w:rsidRPr="00F539E5" w:rsidRDefault="00D303F9" w:rsidP="00D303F9">
      <w:pPr>
        <w:spacing w:after="0"/>
        <w:jc w:val="center"/>
        <w:rPr>
          <w:sz w:val="16"/>
          <w:szCs w:val="16"/>
        </w:rPr>
      </w:pPr>
      <w:r w:rsidRPr="00F539E5">
        <w:rPr>
          <w:sz w:val="16"/>
          <w:szCs w:val="16"/>
        </w:rPr>
        <w:t xml:space="preserve">                                                                                                      </w:t>
      </w:r>
      <w:r w:rsidRPr="00F539E5">
        <w:rPr>
          <w:sz w:val="16"/>
          <w:szCs w:val="16"/>
        </w:rPr>
        <w:tab/>
      </w:r>
      <w:r w:rsidRPr="00F539E5">
        <w:rPr>
          <w:sz w:val="16"/>
          <w:szCs w:val="16"/>
        </w:rPr>
        <w:tab/>
      </w:r>
      <w:r w:rsidRPr="00F539E5">
        <w:rPr>
          <w:sz w:val="16"/>
          <w:szCs w:val="16"/>
        </w:rPr>
        <w:tab/>
      </w:r>
    </w:p>
    <w:p w14:paraId="14C9DB42" w14:textId="77777777" w:rsidR="00D303F9" w:rsidRPr="00F539E5" w:rsidRDefault="00D303F9" w:rsidP="00D303F9">
      <w:pPr>
        <w:spacing w:after="0"/>
        <w:jc w:val="center"/>
        <w:rPr>
          <w:sz w:val="16"/>
          <w:szCs w:val="16"/>
        </w:rPr>
      </w:pPr>
    </w:p>
    <w:tbl>
      <w:tblPr>
        <w:tblStyle w:val="Grilledutableau"/>
        <w:tblW w:w="0" w:type="auto"/>
        <w:jc w:val="center"/>
        <w:tblLook w:val="04A0" w:firstRow="1" w:lastRow="0" w:firstColumn="1" w:lastColumn="0" w:noHBand="0" w:noVBand="1"/>
      </w:tblPr>
      <w:tblGrid>
        <w:gridCol w:w="6629"/>
        <w:gridCol w:w="2915"/>
      </w:tblGrid>
      <w:tr w:rsidR="00B06BC1" w:rsidRPr="00F539E5" w14:paraId="26AB924B" w14:textId="77777777" w:rsidTr="00347F35">
        <w:trPr>
          <w:trHeight w:val="340"/>
          <w:jc w:val="center"/>
        </w:trPr>
        <w:tc>
          <w:tcPr>
            <w:tcW w:w="662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217056B1" w14:textId="240F25E7" w:rsidR="00B06BC1" w:rsidRPr="00F539E5" w:rsidRDefault="00B06BC1" w:rsidP="00347F35">
            <w:pPr>
              <w:rPr>
                <w:b/>
              </w:rPr>
            </w:pPr>
            <w:r>
              <w:rPr>
                <w:b/>
              </w:rPr>
              <w:t>Revenus 201</w:t>
            </w:r>
            <w:r w:rsidR="00EA5387">
              <w:rPr>
                <w:b/>
              </w:rPr>
              <w:t>5</w:t>
            </w:r>
            <w:r>
              <w:rPr>
                <w:b/>
              </w:rPr>
              <w:t>-201</w:t>
            </w:r>
            <w:r w:rsidR="00EA5387">
              <w:rPr>
                <w:b/>
              </w:rPr>
              <w:t>6</w:t>
            </w:r>
          </w:p>
        </w:tc>
        <w:tc>
          <w:tcPr>
            <w:tcW w:w="291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14:paraId="6DBA7F1E" w14:textId="77777777" w:rsidR="00B06BC1" w:rsidRPr="00F539E5" w:rsidRDefault="00B06BC1" w:rsidP="00347F35">
            <w:pPr>
              <w:jc w:val="center"/>
              <w:rPr>
                <w:b/>
                <w:sz w:val="24"/>
                <w:szCs w:val="24"/>
              </w:rPr>
            </w:pPr>
          </w:p>
        </w:tc>
      </w:tr>
      <w:tr w:rsidR="00B06BC1" w:rsidRPr="00F539E5" w14:paraId="49B39B53" w14:textId="77777777" w:rsidTr="00347F35">
        <w:trPr>
          <w:trHeight w:val="340"/>
          <w:jc w:val="center"/>
        </w:trPr>
        <w:tc>
          <w:tcPr>
            <w:tcW w:w="6629" w:type="dxa"/>
            <w:tcBorders>
              <w:top w:val="nil"/>
              <w:left w:val="nil"/>
              <w:right w:val="nil"/>
            </w:tcBorders>
            <w:vAlign w:val="center"/>
          </w:tcPr>
          <w:p w14:paraId="1F180C68" w14:textId="77777777" w:rsidR="00B06BC1" w:rsidRPr="00F539E5" w:rsidRDefault="00B06BC1" w:rsidP="00347F35">
            <w:r w:rsidRPr="00F539E5">
              <w:t>Direction de l’Université de Montréal</w:t>
            </w:r>
          </w:p>
        </w:tc>
        <w:tc>
          <w:tcPr>
            <w:tcW w:w="2915" w:type="dxa"/>
            <w:tcBorders>
              <w:top w:val="nil"/>
              <w:left w:val="nil"/>
              <w:right w:val="nil"/>
            </w:tcBorders>
            <w:vAlign w:val="center"/>
          </w:tcPr>
          <w:p w14:paraId="78A0BE5B" w14:textId="77777777" w:rsidR="00B06BC1" w:rsidRPr="00F539E5" w:rsidRDefault="00B06BC1" w:rsidP="00347F35">
            <w:pPr>
              <w:jc w:val="right"/>
            </w:pPr>
            <w:r w:rsidRPr="00F539E5">
              <w:t>350 000 $</w:t>
            </w:r>
          </w:p>
        </w:tc>
      </w:tr>
      <w:tr w:rsidR="00B06BC1" w:rsidRPr="00F539E5" w14:paraId="51F90616" w14:textId="77777777" w:rsidTr="00347F35">
        <w:trPr>
          <w:trHeight w:val="340"/>
          <w:jc w:val="center"/>
        </w:trPr>
        <w:tc>
          <w:tcPr>
            <w:tcW w:w="6629" w:type="dxa"/>
            <w:tcBorders>
              <w:left w:val="nil"/>
              <w:right w:val="nil"/>
            </w:tcBorders>
            <w:vAlign w:val="center"/>
          </w:tcPr>
          <w:p w14:paraId="0A5A9925" w14:textId="77777777" w:rsidR="00B06BC1" w:rsidRPr="00F539E5" w:rsidRDefault="00B06BC1" w:rsidP="00347F35">
            <w:r w:rsidRPr="00F539E5">
              <w:t>Direction de la Faculté des arts et des sciences de l’UdeM</w:t>
            </w:r>
          </w:p>
        </w:tc>
        <w:tc>
          <w:tcPr>
            <w:tcW w:w="2915" w:type="dxa"/>
            <w:tcBorders>
              <w:left w:val="nil"/>
              <w:right w:val="nil"/>
            </w:tcBorders>
            <w:vAlign w:val="center"/>
          </w:tcPr>
          <w:p w14:paraId="50B1D9B0" w14:textId="77777777" w:rsidR="00B06BC1" w:rsidRPr="00F539E5" w:rsidRDefault="00B06BC1" w:rsidP="00347F35">
            <w:pPr>
              <w:jc w:val="right"/>
            </w:pPr>
            <w:r w:rsidRPr="002B2012">
              <w:t>8 455 $</w:t>
            </w:r>
          </w:p>
        </w:tc>
      </w:tr>
      <w:tr w:rsidR="00B06BC1" w:rsidRPr="00F539E5" w14:paraId="0706A5F8" w14:textId="77777777" w:rsidTr="00347F35">
        <w:trPr>
          <w:trHeight w:val="340"/>
          <w:jc w:val="center"/>
        </w:trPr>
        <w:tc>
          <w:tcPr>
            <w:tcW w:w="6629" w:type="dxa"/>
            <w:tcBorders>
              <w:left w:val="nil"/>
              <w:right w:val="nil"/>
            </w:tcBorders>
            <w:vAlign w:val="center"/>
          </w:tcPr>
          <w:p w14:paraId="596B48F7" w14:textId="77777777" w:rsidR="00B06BC1" w:rsidRPr="00F539E5" w:rsidRDefault="00B06BC1" w:rsidP="00347F35">
            <w:r w:rsidRPr="00F539E5">
              <w:t>Ministère des Relations internationales</w:t>
            </w:r>
          </w:p>
        </w:tc>
        <w:tc>
          <w:tcPr>
            <w:tcW w:w="2915" w:type="dxa"/>
            <w:tcBorders>
              <w:left w:val="nil"/>
              <w:right w:val="nil"/>
            </w:tcBorders>
            <w:vAlign w:val="center"/>
          </w:tcPr>
          <w:p w14:paraId="03DB16CF" w14:textId="77777777" w:rsidR="00B06BC1" w:rsidRPr="00F539E5" w:rsidRDefault="00B06BC1" w:rsidP="00347F35">
            <w:pPr>
              <w:jc w:val="right"/>
            </w:pPr>
            <w:r w:rsidRPr="00F539E5">
              <w:t>25 000 $</w:t>
            </w:r>
          </w:p>
        </w:tc>
      </w:tr>
      <w:tr w:rsidR="00B06BC1" w:rsidRPr="00F539E5" w14:paraId="052317C4" w14:textId="77777777" w:rsidTr="00347F35">
        <w:trPr>
          <w:trHeight w:val="340"/>
          <w:jc w:val="center"/>
        </w:trPr>
        <w:tc>
          <w:tcPr>
            <w:tcW w:w="6629" w:type="dxa"/>
            <w:tcBorders>
              <w:left w:val="nil"/>
              <w:right w:val="nil"/>
            </w:tcBorders>
            <w:vAlign w:val="center"/>
          </w:tcPr>
          <w:p w14:paraId="2519D95C" w14:textId="77777777" w:rsidR="00B06BC1" w:rsidRPr="00F539E5" w:rsidRDefault="001176A2" w:rsidP="00347F35">
            <w:hyperlink r:id="rId17" w:history="1">
              <w:r w:rsidR="00B06BC1" w:rsidRPr="00F539E5">
                <w:t>Centre d'excellence sur l'Union européenne</w:t>
              </w:r>
            </w:hyperlink>
          </w:p>
        </w:tc>
        <w:tc>
          <w:tcPr>
            <w:tcW w:w="2915" w:type="dxa"/>
            <w:tcBorders>
              <w:left w:val="nil"/>
              <w:right w:val="nil"/>
            </w:tcBorders>
            <w:vAlign w:val="center"/>
          </w:tcPr>
          <w:p w14:paraId="6BB47616" w14:textId="77777777" w:rsidR="00B06BC1" w:rsidRPr="00F539E5" w:rsidRDefault="00B06BC1" w:rsidP="00347F35">
            <w:pPr>
              <w:jc w:val="right"/>
            </w:pPr>
            <w:r>
              <w:t>55 327</w:t>
            </w:r>
            <w:r w:rsidRPr="00F539E5">
              <w:t xml:space="preserve"> $ </w:t>
            </w:r>
          </w:p>
        </w:tc>
      </w:tr>
      <w:tr w:rsidR="00B06BC1" w:rsidRPr="00F539E5" w14:paraId="4AFB7696" w14:textId="77777777" w:rsidTr="00347F35">
        <w:trPr>
          <w:trHeight w:val="340"/>
          <w:jc w:val="center"/>
        </w:trPr>
        <w:tc>
          <w:tcPr>
            <w:tcW w:w="6629" w:type="dxa"/>
            <w:tcBorders>
              <w:left w:val="nil"/>
              <w:right w:val="nil"/>
            </w:tcBorders>
            <w:vAlign w:val="center"/>
          </w:tcPr>
          <w:p w14:paraId="2E5371BA" w14:textId="77777777" w:rsidR="00B06BC1" w:rsidRPr="00F539E5" w:rsidRDefault="00B06BC1" w:rsidP="00347F35">
            <w:r>
              <w:t>Observatoire des fédérations</w:t>
            </w:r>
          </w:p>
        </w:tc>
        <w:tc>
          <w:tcPr>
            <w:tcW w:w="2915" w:type="dxa"/>
            <w:tcBorders>
              <w:left w:val="nil"/>
              <w:right w:val="nil"/>
            </w:tcBorders>
            <w:vAlign w:val="center"/>
          </w:tcPr>
          <w:p w14:paraId="523EB6E6" w14:textId="77777777" w:rsidR="00B06BC1" w:rsidRPr="00F539E5" w:rsidRDefault="00B06BC1" w:rsidP="00347F35">
            <w:pPr>
              <w:jc w:val="right"/>
            </w:pPr>
            <w:r>
              <w:t>5 000</w:t>
            </w:r>
            <w:r w:rsidRPr="00F539E5">
              <w:t xml:space="preserve"> $</w:t>
            </w:r>
          </w:p>
        </w:tc>
      </w:tr>
      <w:tr w:rsidR="00B06BC1" w:rsidRPr="00F539E5" w14:paraId="04FA640B" w14:textId="77777777" w:rsidTr="00347F35">
        <w:trPr>
          <w:trHeight w:val="340"/>
          <w:jc w:val="center"/>
        </w:trPr>
        <w:tc>
          <w:tcPr>
            <w:tcW w:w="6629" w:type="dxa"/>
            <w:tcBorders>
              <w:left w:val="nil"/>
              <w:right w:val="nil"/>
            </w:tcBorders>
            <w:vAlign w:val="center"/>
          </w:tcPr>
          <w:p w14:paraId="2C013AF3" w14:textId="77777777" w:rsidR="00B06BC1" w:rsidRPr="00F539E5" w:rsidRDefault="00B06BC1" w:rsidP="00347F35">
            <w:r w:rsidRPr="00F539E5">
              <w:t>Émission Planète Terre</w:t>
            </w:r>
          </w:p>
        </w:tc>
        <w:tc>
          <w:tcPr>
            <w:tcW w:w="2915" w:type="dxa"/>
            <w:tcBorders>
              <w:left w:val="nil"/>
              <w:right w:val="nil"/>
            </w:tcBorders>
            <w:vAlign w:val="center"/>
          </w:tcPr>
          <w:p w14:paraId="463F49AE" w14:textId="77777777" w:rsidR="00B06BC1" w:rsidRPr="00F539E5" w:rsidRDefault="00B06BC1" w:rsidP="00347F35">
            <w:pPr>
              <w:jc w:val="right"/>
            </w:pPr>
            <w:r>
              <w:t xml:space="preserve">36 407 </w:t>
            </w:r>
            <w:r w:rsidRPr="00F539E5">
              <w:t>$</w:t>
            </w:r>
          </w:p>
        </w:tc>
      </w:tr>
      <w:tr w:rsidR="00B06BC1" w:rsidRPr="00F539E5" w14:paraId="4C2407F0" w14:textId="77777777" w:rsidTr="00347F35">
        <w:trPr>
          <w:trHeight w:val="340"/>
          <w:jc w:val="center"/>
        </w:trPr>
        <w:tc>
          <w:tcPr>
            <w:tcW w:w="6629" w:type="dxa"/>
            <w:tcBorders>
              <w:left w:val="nil"/>
              <w:right w:val="nil"/>
            </w:tcBorders>
            <w:vAlign w:val="center"/>
          </w:tcPr>
          <w:p w14:paraId="14DCA695" w14:textId="77777777" w:rsidR="00B06BC1" w:rsidRPr="00F539E5" w:rsidRDefault="00B06BC1" w:rsidP="00347F35">
            <w:r w:rsidRPr="00F539E5">
              <w:t>Autres subventions</w:t>
            </w:r>
          </w:p>
        </w:tc>
        <w:tc>
          <w:tcPr>
            <w:tcW w:w="2915" w:type="dxa"/>
            <w:tcBorders>
              <w:left w:val="nil"/>
              <w:right w:val="nil"/>
            </w:tcBorders>
            <w:vAlign w:val="center"/>
          </w:tcPr>
          <w:p w14:paraId="6FEF5886" w14:textId="77777777" w:rsidR="00B06BC1" w:rsidRPr="00F539E5" w:rsidRDefault="00B06BC1" w:rsidP="00347F35">
            <w:pPr>
              <w:jc w:val="right"/>
            </w:pPr>
            <w:r>
              <w:t xml:space="preserve">38 101 </w:t>
            </w:r>
            <w:r w:rsidRPr="00F539E5">
              <w:t>$</w:t>
            </w:r>
          </w:p>
        </w:tc>
      </w:tr>
      <w:tr w:rsidR="00B06BC1" w:rsidRPr="00F539E5" w14:paraId="47D1C886" w14:textId="77777777" w:rsidTr="00347F35">
        <w:trPr>
          <w:trHeight w:val="340"/>
          <w:jc w:val="center"/>
        </w:trPr>
        <w:tc>
          <w:tcPr>
            <w:tcW w:w="6629" w:type="dxa"/>
            <w:tcBorders>
              <w:left w:val="nil"/>
              <w:right w:val="nil"/>
            </w:tcBorders>
            <w:vAlign w:val="center"/>
          </w:tcPr>
          <w:p w14:paraId="1D515463" w14:textId="77777777" w:rsidR="00B06BC1" w:rsidRPr="00F539E5" w:rsidRDefault="00B06BC1" w:rsidP="00347F35">
            <w:pPr>
              <w:rPr>
                <w:b/>
              </w:rPr>
            </w:pPr>
            <w:r w:rsidRPr="00F539E5">
              <w:rPr>
                <w:b/>
              </w:rPr>
              <w:t>Total des revenus</w:t>
            </w:r>
          </w:p>
        </w:tc>
        <w:tc>
          <w:tcPr>
            <w:tcW w:w="2915" w:type="dxa"/>
            <w:tcBorders>
              <w:left w:val="nil"/>
              <w:right w:val="nil"/>
            </w:tcBorders>
            <w:vAlign w:val="center"/>
          </w:tcPr>
          <w:p w14:paraId="541F1768" w14:textId="77777777" w:rsidR="00B06BC1" w:rsidRPr="00F539E5" w:rsidRDefault="00B06BC1" w:rsidP="00347F35">
            <w:pPr>
              <w:jc w:val="right"/>
              <w:rPr>
                <w:b/>
              </w:rPr>
            </w:pPr>
            <w:r>
              <w:rPr>
                <w:b/>
              </w:rPr>
              <w:t xml:space="preserve">518 290 </w:t>
            </w:r>
            <w:r w:rsidRPr="00F539E5">
              <w:rPr>
                <w:b/>
              </w:rPr>
              <w:t>$</w:t>
            </w:r>
          </w:p>
        </w:tc>
      </w:tr>
    </w:tbl>
    <w:p w14:paraId="1EED4001" w14:textId="77777777" w:rsidR="00D303F9" w:rsidRDefault="00D303F9" w:rsidP="00D303F9">
      <w:pPr>
        <w:spacing w:after="0"/>
        <w:jc w:val="center"/>
        <w:rPr>
          <w:sz w:val="16"/>
          <w:szCs w:val="16"/>
        </w:rPr>
      </w:pPr>
    </w:p>
    <w:p w14:paraId="6EC7E752" w14:textId="77777777" w:rsidR="00B06BC1" w:rsidRPr="00F539E5" w:rsidRDefault="00B06BC1" w:rsidP="00D303F9">
      <w:pPr>
        <w:spacing w:after="0"/>
        <w:jc w:val="center"/>
        <w:rPr>
          <w:sz w:val="16"/>
          <w:szCs w:val="16"/>
        </w:rPr>
      </w:pPr>
    </w:p>
    <w:tbl>
      <w:tblPr>
        <w:tblStyle w:val="Grilledutableau"/>
        <w:tblW w:w="0" w:type="auto"/>
        <w:tblInd w:w="392" w:type="dxa"/>
        <w:tblLook w:val="04A0" w:firstRow="1" w:lastRow="0" w:firstColumn="1" w:lastColumn="0" w:noHBand="0" w:noVBand="1"/>
      </w:tblPr>
      <w:tblGrid>
        <w:gridCol w:w="6634"/>
        <w:gridCol w:w="2915"/>
      </w:tblGrid>
      <w:tr w:rsidR="00B06BC1" w:rsidRPr="00F539E5" w14:paraId="5972A041" w14:textId="77777777" w:rsidTr="00F515CF">
        <w:trPr>
          <w:trHeight w:val="340"/>
        </w:trPr>
        <w:tc>
          <w:tcPr>
            <w:tcW w:w="6634" w:type="dxa"/>
          </w:tcPr>
          <w:p w14:paraId="2A98F8CD" w14:textId="720CE997" w:rsidR="00B06BC1" w:rsidRPr="00F539E5" w:rsidRDefault="00B06BC1" w:rsidP="00347F35">
            <w:pPr>
              <w:rPr>
                <w:b/>
              </w:rPr>
            </w:pPr>
            <w:r>
              <w:rPr>
                <w:b/>
              </w:rPr>
              <w:t>Charges 201</w:t>
            </w:r>
            <w:r w:rsidR="00EA5387">
              <w:rPr>
                <w:b/>
              </w:rPr>
              <w:t>5</w:t>
            </w:r>
            <w:r>
              <w:rPr>
                <w:b/>
              </w:rPr>
              <w:t>-201</w:t>
            </w:r>
            <w:r w:rsidR="00EA5387">
              <w:rPr>
                <w:b/>
              </w:rPr>
              <w:t>6</w:t>
            </w:r>
          </w:p>
        </w:tc>
        <w:tc>
          <w:tcPr>
            <w:tcW w:w="2915" w:type="dxa"/>
          </w:tcPr>
          <w:p w14:paraId="498DA152" w14:textId="77777777" w:rsidR="00B06BC1" w:rsidRPr="00F539E5" w:rsidRDefault="00B06BC1" w:rsidP="00347F35">
            <w:pPr>
              <w:jc w:val="center"/>
              <w:rPr>
                <w:b/>
              </w:rPr>
            </w:pPr>
          </w:p>
        </w:tc>
      </w:tr>
      <w:tr w:rsidR="00B06BC1" w:rsidRPr="00F539E5" w14:paraId="031D95BC" w14:textId="77777777" w:rsidTr="00F515CF">
        <w:trPr>
          <w:trHeight w:val="340"/>
        </w:trPr>
        <w:tc>
          <w:tcPr>
            <w:tcW w:w="6634" w:type="dxa"/>
          </w:tcPr>
          <w:p w14:paraId="1D7AB2CF" w14:textId="77777777" w:rsidR="00B06BC1" w:rsidRPr="00F539E5" w:rsidRDefault="00B06BC1" w:rsidP="00347F35">
            <w:r w:rsidRPr="00F539E5">
              <w:t>Rémunération personnel</w:t>
            </w:r>
          </w:p>
        </w:tc>
        <w:tc>
          <w:tcPr>
            <w:tcW w:w="2915" w:type="dxa"/>
          </w:tcPr>
          <w:p w14:paraId="072A76D6" w14:textId="77777777" w:rsidR="00B06BC1" w:rsidRPr="00F539E5" w:rsidRDefault="00B06BC1" w:rsidP="00347F35">
            <w:pPr>
              <w:jc w:val="right"/>
            </w:pPr>
            <w:r>
              <w:t xml:space="preserve">272 057 </w:t>
            </w:r>
            <w:r w:rsidRPr="00F539E5">
              <w:t>$</w:t>
            </w:r>
          </w:p>
        </w:tc>
      </w:tr>
      <w:tr w:rsidR="00B06BC1" w:rsidRPr="00F539E5" w14:paraId="62C4DE32" w14:textId="77777777" w:rsidTr="00F515CF">
        <w:trPr>
          <w:trHeight w:val="340"/>
        </w:trPr>
        <w:tc>
          <w:tcPr>
            <w:tcW w:w="6634" w:type="dxa"/>
          </w:tcPr>
          <w:p w14:paraId="2106044C" w14:textId="77777777" w:rsidR="00B06BC1" w:rsidRPr="00F539E5" w:rsidRDefault="00B06BC1" w:rsidP="00347F35">
            <w:r w:rsidRPr="00F539E5">
              <w:t>Rémunération auxiliaires de recherche</w:t>
            </w:r>
            <w:r>
              <w:t xml:space="preserve"> (</w:t>
            </w:r>
            <w:proofErr w:type="spellStart"/>
            <w:r>
              <w:t>Fellow</w:t>
            </w:r>
            <w:proofErr w:type="spellEnd"/>
            <w:r>
              <w:t>)</w:t>
            </w:r>
          </w:p>
        </w:tc>
        <w:tc>
          <w:tcPr>
            <w:tcW w:w="2915" w:type="dxa"/>
          </w:tcPr>
          <w:p w14:paraId="7EDF9786" w14:textId="77777777" w:rsidR="00B06BC1" w:rsidRPr="00F539E5" w:rsidRDefault="00B06BC1" w:rsidP="00347F35">
            <w:pPr>
              <w:jc w:val="right"/>
            </w:pPr>
            <w:r>
              <w:t xml:space="preserve">29 302 </w:t>
            </w:r>
            <w:r w:rsidRPr="00F539E5">
              <w:t>$</w:t>
            </w:r>
          </w:p>
        </w:tc>
      </w:tr>
      <w:tr w:rsidR="00B06BC1" w:rsidRPr="00F539E5" w14:paraId="52A0F50D" w14:textId="77777777" w:rsidTr="00F515CF">
        <w:trPr>
          <w:trHeight w:val="340"/>
        </w:trPr>
        <w:tc>
          <w:tcPr>
            <w:tcW w:w="6634" w:type="dxa"/>
          </w:tcPr>
          <w:p w14:paraId="358D215F" w14:textId="77777777" w:rsidR="00B06BC1" w:rsidRPr="00F539E5" w:rsidRDefault="00B06BC1" w:rsidP="00347F35">
            <w:r w:rsidRPr="00F539E5">
              <w:t xml:space="preserve">Séminaires </w:t>
            </w:r>
          </w:p>
        </w:tc>
        <w:tc>
          <w:tcPr>
            <w:tcW w:w="2915" w:type="dxa"/>
          </w:tcPr>
          <w:p w14:paraId="024600FF" w14:textId="77777777" w:rsidR="00B06BC1" w:rsidRPr="00F539E5" w:rsidRDefault="00B06BC1" w:rsidP="00347F35">
            <w:pPr>
              <w:jc w:val="right"/>
            </w:pPr>
            <w:r>
              <w:t xml:space="preserve">9 907 </w:t>
            </w:r>
            <w:r w:rsidRPr="00F539E5">
              <w:t>$</w:t>
            </w:r>
          </w:p>
        </w:tc>
      </w:tr>
      <w:tr w:rsidR="00B06BC1" w:rsidRPr="00F539E5" w14:paraId="6117AC11" w14:textId="77777777" w:rsidTr="00F515CF">
        <w:trPr>
          <w:trHeight w:val="340"/>
        </w:trPr>
        <w:tc>
          <w:tcPr>
            <w:tcW w:w="6634" w:type="dxa"/>
          </w:tcPr>
          <w:p w14:paraId="03E5D955" w14:textId="77777777" w:rsidR="00B06BC1" w:rsidRPr="00F539E5" w:rsidRDefault="00B06BC1" w:rsidP="00347F35">
            <w:r w:rsidRPr="00F539E5">
              <w:t>Colloques</w:t>
            </w:r>
          </w:p>
        </w:tc>
        <w:tc>
          <w:tcPr>
            <w:tcW w:w="2915" w:type="dxa"/>
          </w:tcPr>
          <w:p w14:paraId="23CF41AF" w14:textId="77777777" w:rsidR="00B06BC1" w:rsidRPr="00F539E5" w:rsidRDefault="00B06BC1" w:rsidP="00347F35">
            <w:pPr>
              <w:jc w:val="right"/>
            </w:pPr>
            <w:r>
              <w:t xml:space="preserve">18 838 </w:t>
            </w:r>
            <w:r w:rsidRPr="00F539E5">
              <w:t>$</w:t>
            </w:r>
          </w:p>
        </w:tc>
      </w:tr>
      <w:tr w:rsidR="00B06BC1" w:rsidRPr="00F539E5" w14:paraId="5D8A51E9" w14:textId="77777777" w:rsidTr="00F515CF">
        <w:trPr>
          <w:trHeight w:val="340"/>
        </w:trPr>
        <w:tc>
          <w:tcPr>
            <w:tcW w:w="6634" w:type="dxa"/>
          </w:tcPr>
          <w:p w14:paraId="6430EBAE" w14:textId="77777777" w:rsidR="00B06BC1" w:rsidRPr="00F539E5" w:rsidRDefault="00B06BC1" w:rsidP="00347F35">
            <w:r w:rsidRPr="00F539E5">
              <w:t xml:space="preserve">Bourses </w:t>
            </w:r>
            <w:proofErr w:type="spellStart"/>
            <w:r w:rsidRPr="00F539E5">
              <w:t>postdoctorants</w:t>
            </w:r>
            <w:proofErr w:type="spellEnd"/>
          </w:p>
        </w:tc>
        <w:tc>
          <w:tcPr>
            <w:tcW w:w="2915" w:type="dxa"/>
          </w:tcPr>
          <w:p w14:paraId="43CE5471" w14:textId="77777777" w:rsidR="00B06BC1" w:rsidRPr="00F539E5" w:rsidRDefault="00B06BC1" w:rsidP="00347F35">
            <w:pPr>
              <w:jc w:val="right"/>
            </w:pPr>
            <w:r>
              <w:t xml:space="preserve">64 830 </w:t>
            </w:r>
            <w:r w:rsidRPr="00F539E5">
              <w:t>$</w:t>
            </w:r>
          </w:p>
        </w:tc>
      </w:tr>
      <w:tr w:rsidR="00B06BC1" w:rsidRPr="00F539E5" w14:paraId="22D7D9A4" w14:textId="77777777" w:rsidTr="00F515CF">
        <w:trPr>
          <w:trHeight w:val="340"/>
        </w:trPr>
        <w:tc>
          <w:tcPr>
            <w:tcW w:w="6634" w:type="dxa"/>
          </w:tcPr>
          <w:p w14:paraId="1E752FD6" w14:textId="77777777" w:rsidR="00B06BC1" w:rsidRPr="00F539E5" w:rsidRDefault="00B06BC1" w:rsidP="00347F35">
            <w:r>
              <w:t>Planète Terre</w:t>
            </w:r>
          </w:p>
        </w:tc>
        <w:tc>
          <w:tcPr>
            <w:tcW w:w="2915" w:type="dxa"/>
          </w:tcPr>
          <w:p w14:paraId="10B8F691" w14:textId="77777777" w:rsidR="00B06BC1" w:rsidRDefault="00B06BC1" w:rsidP="00347F35">
            <w:pPr>
              <w:jc w:val="right"/>
            </w:pPr>
            <w:r>
              <w:t>57 317 $</w:t>
            </w:r>
          </w:p>
        </w:tc>
      </w:tr>
      <w:tr w:rsidR="00B06BC1" w:rsidRPr="00F539E5" w14:paraId="05B014DD" w14:textId="77777777" w:rsidTr="00F515CF">
        <w:trPr>
          <w:trHeight w:val="340"/>
        </w:trPr>
        <w:tc>
          <w:tcPr>
            <w:tcW w:w="6634" w:type="dxa"/>
          </w:tcPr>
          <w:p w14:paraId="4DC52E90" w14:textId="77777777" w:rsidR="00B06BC1" w:rsidRPr="00F539E5" w:rsidRDefault="00B06BC1" w:rsidP="00347F35">
            <w:r w:rsidRPr="00F539E5">
              <w:t>Frais de représentation</w:t>
            </w:r>
          </w:p>
        </w:tc>
        <w:tc>
          <w:tcPr>
            <w:tcW w:w="2915" w:type="dxa"/>
          </w:tcPr>
          <w:p w14:paraId="209816D1" w14:textId="77777777" w:rsidR="00B06BC1" w:rsidRPr="00F539E5" w:rsidRDefault="00B06BC1" w:rsidP="00347F35">
            <w:pPr>
              <w:jc w:val="right"/>
            </w:pPr>
            <w:r>
              <w:t xml:space="preserve">1 901 </w:t>
            </w:r>
            <w:r w:rsidRPr="00F539E5">
              <w:t>$</w:t>
            </w:r>
          </w:p>
        </w:tc>
      </w:tr>
      <w:tr w:rsidR="00B06BC1" w:rsidRPr="00F539E5" w14:paraId="179FC3DC" w14:textId="77777777" w:rsidTr="00F515CF">
        <w:trPr>
          <w:trHeight w:val="340"/>
        </w:trPr>
        <w:tc>
          <w:tcPr>
            <w:tcW w:w="6634" w:type="dxa"/>
          </w:tcPr>
          <w:p w14:paraId="4F1D19F5" w14:textId="77777777" w:rsidR="00B06BC1" w:rsidRPr="00F539E5" w:rsidRDefault="00B06BC1" w:rsidP="00347F35">
            <w:r w:rsidRPr="00F539E5">
              <w:t>Fonctionnement et équipement</w:t>
            </w:r>
          </w:p>
        </w:tc>
        <w:tc>
          <w:tcPr>
            <w:tcW w:w="2915" w:type="dxa"/>
          </w:tcPr>
          <w:p w14:paraId="2A79A445" w14:textId="77777777" w:rsidR="00B06BC1" w:rsidRPr="00F539E5" w:rsidRDefault="00B06BC1" w:rsidP="00347F35">
            <w:pPr>
              <w:jc w:val="right"/>
            </w:pPr>
            <w:r>
              <w:t xml:space="preserve">21 827 </w:t>
            </w:r>
            <w:r w:rsidRPr="00F539E5">
              <w:t>$</w:t>
            </w:r>
          </w:p>
        </w:tc>
      </w:tr>
      <w:tr w:rsidR="00B06BC1" w:rsidRPr="00F539E5" w14:paraId="1B2CF14C" w14:textId="77777777" w:rsidTr="00F515CF">
        <w:trPr>
          <w:trHeight w:val="340"/>
        </w:trPr>
        <w:tc>
          <w:tcPr>
            <w:tcW w:w="6634" w:type="dxa"/>
          </w:tcPr>
          <w:p w14:paraId="67298BC3" w14:textId="77777777" w:rsidR="00B06BC1" w:rsidRPr="00F539E5" w:rsidRDefault="00B06BC1" w:rsidP="00347F35">
            <w:r>
              <w:t>Chaire Mexique et chaire France</w:t>
            </w:r>
          </w:p>
        </w:tc>
        <w:tc>
          <w:tcPr>
            <w:tcW w:w="2915" w:type="dxa"/>
          </w:tcPr>
          <w:p w14:paraId="3FE3A490" w14:textId="77777777" w:rsidR="00B06BC1" w:rsidRPr="00F539E5" w:rsidRDefault="00B06BC1" w:rsidP="00347F35">
            <w:pPr>
              <w:jc w:val="right"/>
            </w:pPr>
            <w:r>
              <w:t xml:space="preserve">6 000 </w:t>
            </w:r>
            <w:r w:rsidRPr="00F539E5">
              <w:t>$</w:t>
            </w:r>
          </w:p>
        </w:tc>
      </w:tr>
      <w:tr w:rsidR="00B06BC1" w:rsidRPr="00F539E5" w14:paraId="3BCF40BD" w14:textId="77777777" w:rsidTr="00F515CF">
        <w:trPr>
          <w:trHeight w:val="340"/>
        </w:trPr>
        <w:tc>
          <w:tcPr>
            <w:tcW w:w="6634" w:type="dxa"/>
          </w:tcPr>
          <w:p w14:paraId="2631A0F1" w14:textId="77777777" w:rsidR="00B06BC1" w:rsidRPr="00F539E5" w:rsidRDefault="00B06BC1" w:rsidP="00347F35">
            <w:r w:rsidRPr="00F539E5">
              <w:t xml:space="preserve">Divers </w:t>
            </w:r>
          </w:p>
        </w:tc>
        <w:tc>
          <w:tcPr>
            <w:tcW w:w="2915" w:type="dxa"/>
          </w:tcPr>
          <w:p w14:paraId="58F7F718" w14:textId="77777777" w:rsidR="00B06BC1" w:rsidRPr="00F539E5" w:rsidRDefault="00B06BC1" w:rsidP="00347F35">
            <w:pPr>
              <w:jc w:val="right"/>
            </w:pPr>
            <w:r>
              <w:t xml:space="preserve">39 162 </w:t>
            </w:r>
            <w:r w:rsidRPr="00F539E5">
              <w:t>$</w:t>
            </w:r>
          </w:p>
        </w:tc>
      </w:tr>
      <w:tr w:rsidR="00B06BC1" w:rsidRPr="00F539E5" w14:paraId="69FE0B4D" w14:textId="77777777" w:rsidTr="00F515CF">
        <w:trPr>
          <w:trHeight w:val="340"/>
        </w:trPr>
        <w:tc>
          <w:tcPr>
            <w:tcW w:w="6634" w:type="dxa"/>
          </w:tcPr>
          <w:p w14:paraId="18F37784" w14:textId="77777777" w:rsidR="00B06BC1" w:rsidRPr="00F539E5" w:rsidRDefault="00B06BC1" w:rsidP="00347F35">
            <w:pPr>
              <w:rPr>
                <w:b/>
              </w:rPr>
            </w:pPr>
            <w:r w:rsidRPr="00F539E5">
              <w:rPr>
                <w:b/>
              </w:rPr>
              <w:t>Total des charges</w:t>
            </w:r>
          </w:p>
        </w:tc>
        <w:tc>
          <w:tcPr>
            <w:tcW w:w="2915" w:type="dxa"/>
          </w:tcPr>
          <w:p w14:paraId="4F3CC929" w14:textId="77777777" w:rsidR="00B06BC1" w:rsidRPr="00F539E5" w:rsidRDefault="00B06BC1" w:rsidP="00347F35">
            <w:pPr>
              <w:jc w:val="right"/>
              <w:rPr>
                <w:b/>
              </w:rPr>
            </w:pPr>
            <w:r>
              <w:rPr>
                <w:b/>
              </w:rPr>
              <w:t xml:space="preserve"> 521 141 </w:t>
            </w:r>
            <w:r w:rsidRPr="00F539E5">
              <w:rPr>
                <w:b/>
              </w:rPr>
              <w:t>$</w:t>
            </w:r>
          </w:p>
        </w:tc>
      </w:tr>
    </w:tbl>
    <w:p w14:paraId="7531E4C3" w14:textId="77777777" w:rsidR="00D303F9" w:rsidRPr="00F539E5" w:rsidRDefault="00D303F9" w:rsidP="00F10BE4">
      <w:pPr>
        <w:rPr>
          <w:b/>
          <w:color w:val="00487D"/>
        </w:rPr>
      </w:pPr>
    </w:p>
    <w:tbl>
      <w:tblPr>
        <w:tblStyle w:val="Grilledutableau"/>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915"/>
      </w:tblGrid>
      <w:tr w:rsidR="00D303F9" w:rsidRPr="00F539E5" w14:paraId="118B3ABC" w14:textId="77777777" w:rsidTr="00F6008B">
        <w:trPr>
          <w:trHeight w:val="340"/>
          <w:jc w:val="center"/>
        </w:trPr>
        <w:tc>
          <w:tcPr>
            <w:tcW w:w="6629" w:type="dxa"/>
            <w:vAlign w:val="center"/>
          </w:tcPr>
          <w:p w14:paraId="1622052D" w14:textId="77777777" w:rsidR="00D303F9" w:rsidRPr="00F539E5" w:rsidRDefault="00D303F9" w:rsidP="00F6008B">
            <w:pPr>
              <w:rPr>
                <w:b/>
              </w:rPr>
            </w:pPr>
            <w:r w:rsidRPr="00F539E5">
              <w:rPr>
                <w:b/>
              </w:rPr>
              <w:t>Excédent des revenus sur les charges</w:t>
            </w:r>
          </w:p>
        </w:tc>
        <w:tc>
          <w:tcPr>
            <w:tcW w:w="2915" w:type="dxa"/>
            <w:vAlign w:val="center"/>
          </w:tcPr>
          <w:p w14:paraId="322D5E66" w14:textId="14F9ED98" w:rsidR="00D303F9" w:rsidRPr="00F539E5" w:rsidRDefault="00F515CF" w:rsidP="00F6008B">
            <w:pPr>
              <w:jc w:val="right"/>
              <w:rPr>
                <w:b/>
              </w:rPr>
            </w:pPr>
            <w:r>
              <w:rPr>
                <w:b/>
              </w:rPr>
              <w:t xml:space="preserve">(2 851) </w:t>
            </w:r>
            <w:r w:rsidRPr="00F539E5">
              <w:rPr>
                <w:b/>
              </w:rPr>
              <w:t>$</w:t>
            </w:r>
          </w:p>
        </w:tc>
      </w:tr>
    </w:tbl>
    <w:p w14:paraId="2559034F" w14:textId="77777777" w:rsidR="00D303F9" w:rsidRPr="00F539E5" w:rsidRDefault="00D303F9" w:rsidP="00D303F9">
      <w:pPr>
        <w:jc w:val="center"/>
        <w:rPr>
          <w:b/>
          <w:color w:val="00487D"/>
        </w:rPr>
      </w:pPr>
    </w:p>
    <w:p w14:paraId="62E0AC56" w14:textId="77777777" w:rsidR="00D303F9" w:rsidRPr="00F539E5" w:rsidRDefault="00D303F9" w:rsidP="00D303F9">
      <w:pPr>
        <w:jc w:val="center"/>
        <w:rPr>
          <w:b/>
          <w:color w:val="00487D"/>
        </w:rPr>
      </w:pPr>
    </w:p>
    <w:tbl>
      <w:tblPr>
        <w:tblStyle w:val="Grilledutableau"/>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915"/>
      </w:tblGrid>
      <w:tr w:rsidR="00D303F9" w:rsidRPr="00F539E5" w14:paraId="21FD37B2" w14:textId="77777777" w:rsidTr="00F6008B">
        <w:trPr>
          <w:trHeight w:val="340"/>
          <w:jc w:val="center"/>
        </w:trPr>
        <w:tc>
          <w:tcPr>
            <w:tcW w:w="6629" w:type="dxa"/>
            <w:vAlign w:val="center"/>
          </w:tcPr>
          <w:p w14:paraId="604059C0" w14:textId="77777777" w:rsidR="00D303F9" w:rsidRPr="00F539E5" w:rsidRDefault="00D303F9" w:rsidP="00F6008B">
            <w:pPr>
              <w:rPr>
                <w:b/>
              </w:rPr>
            </w:pPr>
            <w:r w:rsidRPr="00F539E5">
              <w:rPr>
                <w:b/>
              </w:rPr>
              <w:t>Solde à la fin</w:t>
            </w:r>
          </w:p>
        </w:tc>
        <w:tc>
          <w:tcPr>
            <w:tcW w:w="2915" w:type="dxa"/>
            <w:vAlign w:val="center"/>
          </w:tcPr>
          <w:p w14:paraId="1FBFF3EB" w14:textId="3C7F8183" w:rsidR="00D303F9" w:rsidRPr="00F539E5" w:rsidRDefault="00F515CF" w:rsidP="00F6008B">
            <w:pPr>
              <w:jc w:val="right"/>
              <w:rPr>
                <w:b/>
              </w:rPr>
            </w:pPr>
            <w:r>
              <w:rPr>
                <w:b/>
              </w:rPr>
              <w:t xml:space="preserve">31 978 </w:t>
            </w:r>
            <w:r w:rsidR="00D303F9" w:rsidRPr="00F539E5">
              <w:rPr>
                <w:b/>
              </w:rPr>
              <w:t>$</w:t>
            </w:r>
          </w:p>
        </w:tc>
      </w:tr>
    </w:tbl>
    <w:p w14:paraId="0A4E596C" w14:textId="468865B2" w:rsidR="00EC7531" w:rsidRDefault="00EC7531" w:rsidP="00D303F9">
      <w:pPr>
        <w:jc w:val="center"/>
        <w:rPr>
          <w:b/>
          <w:color w:val="00487D"/>
        </w:rPr>
      </w:pPr>
    </w:p>
    <w:p w14:paraId="79B2370D" w14:textId="77777777" w:rsidR="00EC7531" w:rsidRDefault="00EC7531">
      <w:pPr>
        <w:rPr>
          <w:b/>
          <w:color w:val="00487D"/>
        </w:rPr>
      </w:pPr>
      <w:r>
        <w:rPr>
          <w:b/>
          <w:color w:val="00487D"/>
        </w:rPr>
        <w:br w:type="page"/>
      </w:r>
    </w:p>
    <w:p w14:paraId="7AC928B9" w14:textId="77777777" w:rsidR="00D303F9" w:rsidRPr="00F539E5" w:rsidRDefault="00D303F9" w:rsidP="00F10BE4">
      <w:pPr>
        <w:rPr>
          <w:b/>
          <w:color w:val="00487D"/>
        </w:rPr>
      </w:pPr>
    </w:p>
    <w:p w14:paraId="122C2CA8" w14:textId="71A90B06" w:rsidR="00D303F9" w:rsidRPr="00F539E5" w:rsidRDefault="00D303F9" w:rsidP="00D303F9">
      <w:pPr>
        <w:jc w:val="center"/>
        <w:rPr>
          <w:b/>
          <w:color w:val="00487D"/>
        </w:rPr>
      </w:pPr>
      <w:r w:rsidRPr="00F539E5">
        <w:rPr>
          <w:b/>
          <w:color w:val="00487D"/>
        </w:rPr>
        <w:t>Annexe : Tableaux des indicateu</w:t>
      </w:r>
      <w:r w:rsidR="00DF529E">
        <w:rPr>
          <w:b/>
          <w:color w:val="00487D"/>
        </w:rPr>
        <w:t>rs de réalisation du CÉRIUM</w:t>
      </w:r>
    </w:p>
    <w:p w14:paraId="43B9EECA" w14:textId="77777777" w:rsidR="00D303F9" w:rsidRPr="00F539E5" w:rsidRDefault="00D303F9" w:rsidP="00D303F9">
      <w:pPr>
        <w:rPr>
          <w:b/>
        </w:rPr>
      </w:pPr>
    </w:p>
    <w:p w14:paraId="4F0A9958" w14:textId="77777777" w:rsidR="00D303F9" w:rsidRPr="00F539E5" w:rsidRDefault="00D303F9" w:rsidP="00D303F9">
      <w:pPr>
        <w:rPr>
          <w:b/>
        </w:rPr>
      </w:pPr>
      <w:r w:rsidRPr="00F539E5">
        <w:rPr>
          <w:b/>
        </w:rPr>
        <w:t>Volet scientifique</w:t>
      </w:r>
    </w:p>
    <w:tbl>
      <w:tblPr>
        <w:tblStyle w:val="Grilledutableau"/>
        <w:tblW w:w="10068" w:type="dxa"/>
        <w:jc w:val="center"/>
        <w:tblLook w:val="04A0" w:firstRow="1" w:lastRow="0" w:firstColumn="1" w:lastColumn="0" w:noHBand="0" w:noVBand="1"/>
      </w:tblPr>
      <w:tblGrid>
        <w:gridCol w:w="5458"/>
        <w:gridCol w:w="2305"/>
        <w:gridCol w:w="2305"/>
      </w:tblGrid>
      <w:tr w:rsidR="005C6FC6" w:rsidRPr="00F539E5" w14:paraId="0556E8DF" w14:textId="77777777" w:rsidTr="00E3617D">
        <w:trPr>
          <w:trHeight w:val="340"/>
          <w:jc w:val="center"/>
        </w:trPr>
        <w:tc>
          <w:tcPr>
            <w:tcW w:w="545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vAlign w:val="center"/>
          </w:tcPr>
          <w:p w14:paraId="64A99644" w14:textId="77777777" w:rsidR="005C6FC6" w:rsidRPr="00F539E5" w:rsidRDefault="005C6FC6" w:rsidP="00F6008B">
            <w:pPr>
              <w:rPr>
                <w:b/>
              </w:rPr>
            </w:pPr>
            <w:r w:rsidRPr="00F539E5">
              <w:rPr>
                <w:b/>
              </w:rPr>
              <w:t>Indicateurs</w:t>
            </w:r>
          </w:p>
        </w:tc>
        <w:tc>
          <w:tcPr>
            <w:tcW w:w="230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vAlign w:val="center"/>
          </w:tcPr>
          <w:p w14:paraId="11FDEDF9" w14:textId="2A3154AA" w:rsidR="005C6FC6" w:rsidRPr="00F539E5" w:rsidRDefault="005C6FC6" w:rsidP="00F6008B">
            <w:pPr>
              <w:rPr>
                <w:b/>
              </w:rPr>
            </w:pPr>
            <w:r w:rsidRPr="00F539E5">
              <w:rPr>
                <w:b/>
              </w:rPr>
              <w:t>Réalisation</w:t>
            </w:r>
            <w:r>
              <w:rPr>
                <w:b/>
              </w:rPr>
              <w:t xml:space="preserve"> 201</w:t>
            </w:r>
            <w:r w:rsidR="00EA5387">
              <w:rPr>
                <w:b/>
              </w:rPr>
              <w:t>4</w:t>
            </w:r>
            <w:r>
              <w:rPr>
                <w:b/>
              </w:rPr>
              <w:t>-1</w:t>
            </w:r>
            <w:r w:rsidR="00EA5387">
              <w:rPr>
                <w:b/>
              </w:rPr>
              <w:t>5</w:t>
            </w:r>
          </w:p>
        </w:tc>
        <w:tc>
          <w:tcPr>
            <w:tcW w:w="230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vAlign w:val="center"/>
          </w:tcPr>
          <w:p w14:paraId="06EFCEB4" w14:textId="602699FE" w:rsidR="005C6FC6" w:rsidRPr="00F539E5" w:rsidRDefault="005C6FC6" w:rsidP="00F6008B">
            <w:pPr>
              <w:rPr>
                <w:b/>
              </w:rPr>
            </w:pPr>
            <w:r w:rsidRPr="00F539E5">
              <w:rPr>
                <w:b/>
              </w:rPr>
              <w:t>Réalisation</w:t>
            </w:r>
            <w:r>
              <w:rPr>
                <w:b/>
              </w:rPr>
              <w:t xml:space="preserve"> 201</w:t>
            </w:r>
            <w:r w:rsidR="00EA5387">
              <w:rPr>
                <w:b/>
              </w:rPr>
              <w:t>5</w:t>
            </w:r>
            <w:r>
              <w:rPr>
                <w:b/>
              </w:rPr>
              <w:t>-1</w:t>
            </w:r>
            <w:r w:rsidR="00EA5387">
              <w:rPr>
                <w:b/>
              </w:rPr>
              <w:t>6</w:t>
            </w:r>
          </w:p>
        </w:tc>
      </w:tr>
      <w:tr w:rsidR="005C6FC6" w:rsidRPr="00F539E5" w14:paraId="612C3361" w14:textId="77777777" w:rsidTr="005C6FC6">
        <w:trPr>
          <w:trHeight w:val="137"/>
          <w:jc w:val="center"/>
        </w:trPr>
        <w:tc>
          <w:tcPr>
            <w:tcW w:w="5458" w:type="dxa"/>
            <w:tcBorders>
              <w:top w:val="single" w:sz="4" w:space="0" w:color="F79646" w:themeColor="accent6"/>
              <w:left w:val="nil"/>
              <w:bottom w:val="nil"/>
              <w:right w:val="nil"/>
            </w:tcBorders>
            <w:vAlign w:val="center"/>
          </w:tcPr>
          <w:p w14:paraId="72305686" w14:textId="77777777" w:rsidR="005C6FC6" w:rsidRPr="00F539E5" w:rsidRDefault="005C6FC6" w:rsidP="00F6008B"/>
        </w:tc>
        <w:tc>
          <w:tcPr>
            <w:tcW w:w="2305" w:type="dxa"/>
            <w:tcBorders>
              <w:top w:val="single" w:sz="4" w:space="0" w:color="F79646" w:themeColor="accent6"/>
              <w:left w:val="nil"/>
              <w:bottom w:val="nil"/>
              <w:right w:val="nil"/>
            </w:tcBorders>
            <w:vAlign w:val="center"/>
          </w:tcPr>
          <w:p w14:paraId="5400702D" w14:textId="77777777" w:rsidR="005C6FC6" w:rsidRPr="00F539E5" w:rsidRDefault="005C6FC6" w:rsidP="00F6008B"/>
        </w:tc>
        <w:tc>
          <w:tcPr>
            <w:tcW w:w="2305" w:type="dxa"/>
            <w:tcBorders>
              <w:top w:val="single" w:sz="4" w:space="0" w:color="F79646" w:themeColor="accent6"/>
              <w:left w:val="nil"/>
              <w:bottom w:val="nil"/>
              <w:right w:val="nil"/>
            </w:tcBorders>
          </w:tcPr>
          <w:p w14:paraId="08D50EF9" w14:textId="559F1BF5" w:rsidR="005C6FC6" w:rsidRPr="00F539E5" w:rsidRDefault="005C6FC6" w:rsidP="00F6008B"/>
        </w:tc>
      </w:tr>
      <w:tr w:rsidR="005C6FC6" w:rsidRPr="00F539E5" w14:paraId="4B9B47EF" w14:textId="77777777" w:rsidTr="009B447A">
        <w:trPr>
          <w:trHeight w:val="340"/>
          <w:jc w:val="center"/>
        </w:trPr>
        <w:tc>
          <w:tcPr>
            <w:tcW w:w="5458" w:type="dxa"/>
            <w:tcBorders>
              <w:top w:val="nil"/>
              <w:left w:val="nil"/>
              <w:right w:val="nil"/>
            </w:tcBorders>
            <w:vAlign w:val="center"/>
          </w:tcPr>
          <w:p w14:paraId="77BC08B8" w14:textId="77777777" w:rsidR="005C6FC6" w:rsidRPr="00F539E5" w:rsidRDefault="005C6FC6" w:rsidP="00F6008B">
            <w:r w:rsidRPr="00F539E5">
              <w:t>Nombre de chercheurs</w:t>
            </w:r>
          </w:p>
        </w:tc>
        <w:tc>
          <w:tcPr>
            <w:tcW w:w="2305" w:type="dxa"/>
            <w:tcBorders>
              <w:top w:val="nil"/>
              <w:left w:val="nil"/>
              <w:right w:val="nil"/>
            </w:tcBorders>
            <w:vAlign w:val="center"/>
          </w:tcPr>
          <w:p w14:paraId="330071A2" w14:textId="43EE9CC9" w:rsidR="005C6FC6" w:rsidRPr="00F539E5" w:rsidRDefault="00EA5387" w:rsidP="009B447A">
            <w:r>
              <w:t>67</w:t>
            </w:r>
          </w:p>
        </w:tc>
        <w:tc>
          <w:tcPr>
            <w:tcW w:w="2305" w:type="dxa"/>
            <w:tcBorders>
              <w:top w:val="nil"/>
              <w:left w:val="nil"/>
              <w:right w:val="nil"/>
            </w:tcBorders>
            <w:vAlign w:val="center"/>
          </w:tcPr>
          <w:p w14:paraId="17FDF9E2" w14:textId="340199FF" w:rsidR="005C6FC6" w:rsidRPr="00F539E5" w:rsidRDefault="00EA5387" w:rsidP="009B447A">
            <w:r>
              <w:t>73</w:t>
            </w:r>
            <w:r w:rsidR="000542D5">
              <w:t xml:space="preserve"> (+9</w:t>
            </w:r>
            <w:r w:rsidR="00B038E4">
              <w:t>%</w:t>
            </w:r>
            <w:r w:rsidR="000542D5">
              <w:t>)</w:t>
            </w:r>
          </w:p>
        </w:tc>
      </w:tr>
      <w:tr w:rsidR="005C6FC6" w:rsidRPr="00E90932" w14:paraId="127F8E76" w14:textId="77777777" w:rsidTr="009B447A">
        <w:trPr>
          <w:trHeight w:val="340"/>
          <w:jc w:val="center"/>
        </w:trPr>
        <w:tc>
          <w:tcPr>
            <w:tcW w:w="5458" w:type="dxa"/>
            <w:tcBorders>
              <w:left w:val="nil"/>
              <w:right w:val="nil"/>
            </w:tcBorders>
            <w:vAlign w:val="center"/>
          </w:tcPr>
          <w:p w14:paraId="1F2370CC" w14:textId="77777777" w:rsidR="005C6FC6" w:rsidRPr="00483285" w:rsidRDefault="005C6FC6" w:rsidP="00F6008B">
            <w:pPr>
              <w:keepNext/>
              <w:keepLines/>
              <w:spacing w:before="200" w:after="200" w:line="276" w:lineRule="auto"/>
              <w:outlineLvl w:val="7"/>
              <w:rPr>
                <w:strike/>
              </w:rPr>
            </w:pPr>
            <w:r w:rsidRPr="00483285">
              <w:rPr>
                <w:strike/>
              </w:rPr>
              <w:t xml:space="preserve">Nombre de </w:t>
            </w:r>
            <w:proofErr w:type="spellStart"/>
            <w:r w:rsidRPr="00483285">
              <w:rPr>
                <w:strike/>
              </w:rPr>
              <w:t>fellows</w:t>
            </w:r>
            <w:proofErr w:type="spellEnd"/>
          </w:p>
        </w:tc>
        <w:tc>
          <w:tcPr>
            <w:tcW w:w="2305" w:type="dxa"/>
            <w:tcBorders>
              <w:left w:val="nil"/>
              <w:right w:val="nil"/>
            </w:tcBorders>
            <w:vAlign w:val="center"/>
          </w:tcPr>
          <w:p w14:paraId="2729DC7C" w14:textId="3C7D9059" w:rsidR="005C6FC6" w:rsidRPr="00483285" w:rsidRDefault="00EA5387" w:rsidP="009B447A">
            <w:pPr>
              <w:spacing w:after="200" w:line="276" w:lineRule="auto"/>
              <w:rPr>
                <w:strike/>
              </w:rPr>
            </w:pPr>
            <w:r w:rsidRPr="00483285">
              <w:rPr>
                <w:strike/>
              </w:rPr>
              <w:t>7</w:t>
            </w:r>
          </w:p>
        </w:tc>
        <w:tc>
          <w:tcPr>
            <w:tcW w:w="2305" w:type="dxa"/>
            <w:tcBorders>
              <w:left w:val="nil"/>
              <w:right w:val="nil"/>
            </w:tcBorders>
            <w:vAlign w:val="center"/>
          </w:tcPr>
          <w:p w14:paraId="05101394" w14:textId="3286D095" w:rsidR="005C6FC6" w:rsidRPr="00483285" w:rsidRDefault="00E3617D" w:rsidP="009B447A">
            <w:pPr>
              <w:keepNext/>
              <w:keepLines/>
              <w:spacing w:before="200" w:after="200" w:line="276" w:lineRule="auto"/>
              <w:outlineLvl w:val="7"/>
              <w:rPr>
                <w:strike/>
              </w:rPr>
            </w:pPr>
            <w:r w:rsidRPr="00483285">
              <w:rPr>
                <w:strike/>
                <w:highlight w:val="cyan"/>
              </w:rPr>
              <w:t>7</w:t>
            </w:r>
          </w:p>
        </w:tc>
      </w:tr>
      <w:tr w:rsidR="005C6FC6" w:rsidRPr="00F539E5" w14:paraId="7D2DBE77" w14:textId="77777777" w:rsidTr="009B447A">
        <w:trPr>
          <w:trHeight w:val="340"/>
          <w:jc w:val="center"/>
        </w:trPr>
        <w:tc>
          <w:tcPr>
            <w:tcW w:w="5458" w:type="dxa"/>
            <w:tcBorders>
              <w:left w:val="nil"/>
              <w:right w:val="nil"/>
            </w:tcBorders>
            <w:vAlign w:val="center"/>
          </w:tcPr>
          <w:p w14:paraId="4288FABE" w14:textId="77777777" w:rsidR="005C6FC6" w:rsidRPr="00F539E5" w:rsidRDefault="005C6FC6" w:rsidP="00F6008B">
            <w:pPr>
              <w:rPr>
                <w:b/>
              </w:rPr>
            </w:pPr>
            <w:r w:rsidRPr="00F539E5">
              <w:t>Nombre d’activités</w:t>
            </w:r>
          </w:p>
        </w:tc>
        <w:tc>
          <w:tcPr>
            <w:tcW w:w="2305" w:type="dxa"/>
            <w:tcBorders>
              <w:left w:val="nil"/>
              <w:right w:val="nil"/>
            </w:tcBorders>
            <w:vAlign w:val="center"/>
          </w:tcPr>
          <w:p w14:paraId="689F8602" w14:textId="77777777" w:rsidR="005C6FC6" w:rsidRPr="00F539E5" w:rsidRDefault="005C6FC6" w:rsidP="009B447A"/>
        </w:tc>
        <w:tc>
          <w:tcPr>
            <w:tcW w:w="2305" w:type="dxa"/>
            <w:tcBorders>
              <w:left w:val="nil"/>
              <w:right w:val="nil"/>
            </w:tcBorders>
            <w:vAlign w:val="center"/>
          </w:tcPr>
          <w:p w14:paraId="25F3A50C" w14:textId="0BFC4995" w:rsidR="005C6FC6" w:rsidRPr="00F539E5" w:rsidRDefault="005C6FC6" w:rsidP="009B447A"/>
        </w:tc>
      </w:tr>
      <w:tr w:rsidR="005C6FC6" w:rsidRPr="00F539E5" w14:paraId="3D22DB7B" w14:textId="77777777" w:rsidTr="009B447A">
        <w:trPr>
          <w:trHeight w:val="340"/>
          <w:jc w:val="center"/>
        </w:trPr>
        <w:tc>
          <w:tcPr>
            <w:tcW w:w="5458" w:type="dxa"/>
            <w:tcBorders>
              <w:left w:val="nil"/>
              <w:right w:val="nil"/>
            </w:tcBorders>
            <w:vAlign w:val="center"/>
          </w:tcPr>
          <w:p w14:paraId="5EF0DBCE" w14:textId="77777777" w:rsidR="005C6FC6" w:rsidRPr="00F539E5" w:rsidRDefault="005C6FC6" w:rsidP="00F6008B">
            <w:pPr>
              <w:ind w:left="284"/>
              <w:rPr>
                <w:b/>
              </w:rPr>
            </w:pPr>
            <w:r w:rsidRPr="00F539E5">
              <w:t>- organisées par le CÉRIUM</w:t>
            </w:r>
          </w:p>
        </w:tc>
        <w:tc>
          <w:tcPr>
            <w:tcW w:w="2305" w:type="dxa"/>
            <w:tcBorders>
              <w:left w:val="nil"/>
              <w:right w:val="nil"/>
            </w:tcBorders>
            <w:vAlign w:val="center"/>
          </w:tcPr>
          <w:p w14:paraId="4C58FB32" w14:textId="38176F76" w:rsidR="005C6FC6" w:rsidRPr="00F539E5" w:rsidRDefault="00EA5387" w:rsidP="009B447A">
            <w:r>
              <w:t>44</w:t>
            </w:r>
          </w:p>
        </w:tc>
        <w:tc>
          <w:tcPr>
            <w:tcW w:w="2305" w:type="dxa"/>
            <w:tcBorders>
              <w:left w:val="nil"/>
              <w:right w:val="nil"/>
            </w:tcBorders>
            <w:vAlign w:val="center"/>
          </w:tcPr>
          <w:p w14:paraId="5FFB014F" w14:textId="761BE67E" w:rsidR="005C6FC6" w:rsidRPr="00F539E5" w:rsidRDefault="00E90932" w:rsidP="009B447A">
            <w:r>
              <w:t>29</w:t>
            </w:r>
          </w:p>
        </w:tc>
      </w:tr>
      <w:tr w:rsidR="005C6FC6" w:rsidRPr="00F539E5" w14:paraId="61EDED4C" w14:textId="77777777" w:rsidTr="009B447A">
        <w:trPr>
          <w:trHeight w:val="340"/>
          <w:jc w:val="center"/>
        </w:trPr>
        <w:tc>
          <w:tcPr>
            <w:tcW w:w="5458" w:type="dxa"/>
            <w:tcBorders>
              <w:left w:val="nil"/>
              <w:right w:val="nil"/>
            </w:tcBorders>
            <w:vAlign w:val="center"/>
          </w:tcPr>
          <w:p w14:paraId="7D4ACDC7" w14:textId="77777777" w:rsidR="005C6FC6" w:rsidRPr="00F539E5" w:rsidRDefault="005C6FC6" w:rsidP="00F6008B">
            <w:pPr>
              <w:ind w:left="284"/>
              <w:rPr>
                <w:b/>
              </w:rPr>
            </w:pPr>
            <w:r w:rsidRPr="00F539E5">
              <w:t xml:space="preserve">- </w:t>
            </w:r>
            <w:proofErr w:type="spellStart"/>
            <w:r w:rsidRPr="00F539E5">
              <w:t>co</w:t>
            </w:r>
            <w:proofErr w:type="spellEnd"/>
            <w:r w:rsidRPr="00F539E5">
              <w:t>-organisées CÉRIUM-partenaire</w:t>
            </w:r>
          </w:p>
        </w:tc>
        <w:tc>
          <w:tcPr>
            <w:tcW w:w="2305" w:type="dxa"/>
            <w:tcBorders>
              <w:left w:val="nil"/>
              <w:right w:val="nil"/>
            </w:tcBorders>
            <w:vAlign w:val="center"/>
          </w:tcPr>
          <w:p w14:paraId="5DBE6DC5" w14:textId="27666DCE" w:rsidR="005C6FC6" w:rsidRPr="00F539E5" w:rsidRDefault="00EA5387" w:rsidP="009B447A">
            <w:r>
              <w:t>77</w:t>
            </w:r>
          </w:p>
        </w:tc>
        <w:tc>
          <w:tcPr>
            <w:tcW w:w="2305" w:type="dxa"/>
            <w:tcBorders>
              <w:left w:val="nil"/>
              <w:right w:val="nil"/>
            </w:tcBorders>
            <w:vAlign w:val="center"/>
          </w:tcPr>
          <w:p w14:paraId="07BF7C2C" w14:textId="1F8F3F3F" w:rsidR="005C6FC6" w:rsidRPr="00F539E5" w:rsidRDefault="00E90932" w:rsidP="009B447A">
            <w:r>
              <w:t>36</w:t>
            </w:r>
          </w:p>
        </w:tc>
      </w:tr>
      <w:tr w:rsidR="005C6FC6" w:rsidRPr="00F539E5" w14:paraId="1111EA4D" w14:textId="77777777" w:rsidTr="009B447A">
        <w:trPr>
          <w:trHeight w:val="340"/>
          <w:jc w:val="center"/>
        </w:trPr>
        <w:tc>
          <w:tcPr>
            <w:tcW w:w="5458" w:type="dxa"/>
            <w:tcBorders>
              <w:left w:val="nil"/>
              <w:right w:val="nil"/>
            </w:tcBorders>
            <w:vAlign w:val="center"/>
          </w:tcPr>
          <w:p w14:paraId="7FB566DB" w14:textId="77777777" w:rsidR="005C6FC6" w:rsidRPr="00F539E5" w:rsidRDefault="005C6FC6" w:rsidP="00F6008B">
            <w:pPr>
              <w:ind w:left="284"/>
              <w:rPr>
                <w:b/>
              </w:rPr>
            </w:pPr>
            <w:r w:rsidRPr="00F539E5">
              <w:t>- diffusion seulement</w:t>
            </w:r>
          </w:p>
        </w:tc>
        <w:tc>
          <w:tcPr>
            <w:tcW w:w="2305" w:type="dxa"/>
            <w:tcBorders>
              <w:left w:val="nil"/>
              <w:right w:val="nil"/>
            </w:tcBorders>
            <w:vAlign w:val="center"/>
          </w:tcPr>
          <w:p w14:paraId="470AA5CA" w14:textId="557A0B55" w:rsidR="005C6FC6" w:rsidRPr="00F539E5" w:rsidRDefault="00EA5387" w:rsidP="009B447A">
            <w:r>
              <w:t>43</w:t>
            </w:r>
          </w:p>
        </w:tc>
        <w:tc>
          <w:tcPr>
            <w:tcW w:w="2305" w:type="dxa"/>
            <w:tcBorders>
              <w:left w:val="nil"/>
              <w:right w:val="nil"/>
            </w:tcBorders>
            <w:vAlign w:val="center"/>
          </w:tcPr>
          <w:p w14:paraId="44E52A06" w14:textId="4611A59A" w:rsidR="005C6FC6" w:rsidRPr="00F539E5" w:rsidRDefault="00E90932" w:rsidP="009B447A">
            <w:r>
              <w:t>37</w:t>
            </w:r>
          </w:p>
        </w:tc>
      </w:tr>
      <w:tr w:rsidR="005C6FC6" w:rsidRPr="00F539E5" w14:paraId="19F16813" w14:textId="77777777" w:rsidTr="009B447A">
        <w:trPr>
          <w:trHeight w:val="340"/>
          <w:jc w:val="center"/>
        </w:trPr>
        <w:tc>
          <w:tcPr>
            <w:tcW w:w="5458" w:type="dxa"/>
            <w:tcBorders>
              <w:left w:val="nil"/>
              <w:right w:val="nil"/>
            </w:tcBorders>
            <w:vAlign w:val="center"/>
          </w:tcPr>
          <w:p w14:paraId="77564032" w14:textId="77777777" w:rsidR="005C6FC6" w:rsidRPr="00F539E5" w:rsidRDefault="005C6FC6" w:rsidP="00F6008B">
            <w:pPr>
              <w:rPr>
                <w:b/>
              </w:rPr>
            </w:pPr>
            <w:r w:rsidRPr="00F539E5">
              <w:t>Nombre de participants</w:t>
            </w:r>
          </w:p>
        </w:tc>
        <w:tc>
          <w:tcPr>
            <w:tcW w:w="2305" w:type="dxa"/>
            <w:tcBorders>
              <w:left w:val="nil"/>
              <w:right w:val="nil"/>
            </w:tcBorders>
            <w:vAlign w:val="center"/>
          </w:tcPr>
          <w:p w14:paraId="1FFBDB92" w14:textId="2E0AEA1A" w:rsidR="005C6FC6" w:rsidRPr="00F539E5" w:rsidRDefault="005C6FC6" w:rsidP="00EA5387">
            <w:proofErr w:type="spellStart"/>
            <w:r w:rsidRPr="00F539E5">
              <w:t>approx</w:t>
            </w:r>
            <w:proofErr w:type="spellEnd"/>
            <w:r w:rsidRPr="00F539E5">
              <w:t xml:space="preserve">. </w:t>
            </w:r>
            <w:r w:rsidR="00EA5387">
              <w:t>8 400</w:t>
            </w:r>
            <w:r w:rsidRPr="00F539E5">
              <w:t xml:space="preserve"> </w:t>
            </w:r>
          </w:p>
        </w:tc>
        <w:tc>
          <w:tcPr>
            <w:tcW w:w="2305" w:type="dxa"/>
            <w:tcBorders>
              <w:left w:val="nil"/>
              <w:right w:val="nil"/>
            </w:tcBorders>
            <w:vAlign w:val="center"/>
          </w:tcPr>
          <w:p w14:paraId="17990A33" w14:textId="73C3A329" w:rsidR="005C6FC6" w:rsidRPr="00F539E5" w:rsidRDefault="009B447A" w:rsidP="00043EAD">
            <w:proofErr w:type="spellStart"/>
            <w:r>
              <w:t>approx</w:t>
            </w:r>
            <w:proofErr w:type="spellEnd"/>
            <w:r>
              <w:t xml:space="preserve">. </w:t>
            </w:r>
            <w:r w:rsidR="00043EAD">
              <w:t>10 323</w:t>
            </w:r>
            <w:r w:rsidR="000542D5">
              <w:t xml:space="preserve"> (</w:t>
            </w:r>
            <w:r w:rsidR="001D607D">
              <w:t>+23%)</w:t>
            </w:r>
          </w:p>
        </w:tc>
      </w:tr>
      <w:tr w:rsidR="005C6FC6" w:rsidRPr="00F539E5" w14:paraId="55F5C388" w14:textId="77777777" w:rsidTr="009B447A">
        <w:trPr>
          <w:trHeight w:val="340"/>
          <w:jc w:val="center"/>
        </w:trPr>
        <w:tc>
          <w:tcPr>
            <w:tcW w:w="5458" w:type="dxa"/>
            <w:tcBorders>
              <w:left w:val="nil"/>
              <w:right w:val="nil"/>
            </w:tcBorders>
            <w:vAlign w:val="center"/>
          </w:tcPr>
          <w:p w14:paraId="5D3272DF" w14:textId="77777777" w:rsidR="005C6FC6" w:rsidRPr="00F539E5" w:rsidRDefault="005C6FC6" w:rsidP="00F6008B">
            <w:pPr>
              <w:rPr>
                <w:b/>
              </w:rPr>
            </w:pPr>
            <w:r w:rsidRPr="00F539E5">
              <w:t xml:space="preserve">Nombre de publications répertoriées </w:t>
            </w:r>
          </w:p>
        </w:tc>
        <w:tc>
          <w:tcPr>
            <w:tcW w:w="2305" w:type="dxa"/>
            <w:tcBorders>
              <w:left w:val="nil"/>
              <w:right w:val="nil"/>
            </w:tcBorders>
            <w:vAlign w:val="center"/>
          </w:tcPr>
          <w:p w14:paraId="0B38CF14" w14:textId="3357532E" w:rsidR="005C6FC6" w:rsidRPr="00F539E5" w:rsidRDefault="00EA5387" w:rsidP="009B447A">
            <w:r>
              <w:t>39</w:t>
            </w:r>
          </w:p>
        </w:tc>
        <w:tc>
          <w:tcPr>
            <w:tcW w:w="2305" w:type="dxa"/>
            <w:tcBorders>
              <w:left w:val="nil"/>
              <w:right w:val="nil"/>
            </w:tcBorders>
            <w:vAlign w:val="center"/>
          </w:tcPr>
          <w:p w14:paraId="6F8D4FB9" w14:textId="381EEC25" w:rsidR="005C6FC6" w:rsidRPr="00F539E5" w:rsidRDefault="00B038E4" w:rsidP="00B038E4">
            <w:bookmarkStart w:id="2" w:name="_GoBack"/>
            <w:r w:rsidRPr="005B39C0">
              <w:rPr>
                <w:highlight w:val="cyan"/>
              </w:rPr>
              <w:t>34 (-12%)</w:t>
            </w:r>
            <w:bookmarkEnd w:id="2"/>
          </w:p>
        </w:tc>
      </w:tr>
      <w:tr w:rsidR="005C6FC6" w:rsidRPr="00F539E5" w14:paraId="306DADBA" w14:textId="77777777" w:rsidTr="009B447A">
        <w:trPr>
          <w:trHeight w:val="340"/>
          <w:jc w:val="center"/>
        </w:trPr>
        <w:tc>
          <w:tcPr>
            <w:tcW w:w="5458" w:type="dxa"/>
            <w:tcBorders>
              <w:left w:val="nil"/>
              <w:right w:val="nil"/>
            </w:tcBorders>
            <w:vAlign w:val="center"/>
          </w:tcPr>
          <w:p w14:paraId="505B2C05" w14:textId="77777777" w:rsidR="005C6FC6" w:rsidRPr="00F539E5" w:rsidRDefault="005C6FC6" w:rsidP="00F6008B">
            <w:pPr>
              <w:rPr>
                <w:b/>
              </w:rPr>
            </w:pPr>
            <w:r w:rsidRPr="00F539E5">
              <w:t>Nombre d’émissions Planète Terre</w:t>
            </w:r>
          </w:p>
        </w:tc>
        <w:tc>
          <w:tcPr>
            <w:tcW w:w="2305" w:type="dxa"/>
            <w:tcBorders>
              <w:left w:val="nil"/>
              <w:right w:val="nil"/>
            </w:tcBorders>
            <w:vAlign w:val="center"/>
          </w:tcPr>
          <w:p w14:paraId="73FBCF9C" w14:textId="15561884" w:rsidR="005C6FC6" w:rsidRPr="00F539E5" w:rsidRDefault="00EA5387" w:rsidP="009B447A">
            <w:r>
              <w:t>13</w:t>
            </w:r>
          </w:p>
        </w:tc>
        <w:tc>
          <w:tcPr>
            <w:tcW w:w="2305" w:type="dxa"/>
            <w:tcBorders>
              <w:left w:val="nil"/>
              <w:right w:val="nil"/>
            </w:tcBorders>
            <w:vAlign w:val="center"/>
          </w:tcPr>
          <w:p w14:paraId="5D001CC5" w14:textId="22F747F6" w:rsidR="005C6FC6" w:rsidRPr="00F539E5" w:rsidRDefault="00EA5387" w:rsidP="009B447A">
            <w:r>
              <w:t>37</w:t>
            </w:r>
            <w:r w:rsidR="001D607D">
              <w:t xml:space="preserve"> (+184%)</w:t>
            </w:r>
          </w:p>
        </w:tc>
      </w:tr>
    </w:tbl>
    <w:p w14:paraId="7AAE9494" w14:textId="77777777" w:rsidR="00D303F9" w:rsidRPr="00F539E5" w:rsidRDefault="00D303F9" w:rsidP="00D303F9">
      <w:pPr>
        <w:rPr>
          <w:b/>
          <w:u w:val="single"/>
        </w:rPr>
      </w:pPr>
    </w:p>
    <w:p w14:paraId="1686F412" w14:textId="77777777" w:rsidR="00D303F9" w:rsidRPr="00F539E5" w:rsidRDefault="00D303F9" w:rsidP="00D303F9">
      <w:pPr>
        <w:rPr>
          <w:b/>
        </w:rPr>
      </w:pPr>
      <w:r w:rsidRPr="00F539E5">
        <w:rPr>
          <w:b/>
        </w:rPr>
        <w:t>Volet rayonnement</w:t>
      </w:r>
    </w:p>
    <w:tbl>
      <w:tblPr>
        <w:tblStyle w:val="Grilledutableau"/>
        <w:tblW w:w="10296" w:type="dxa"/>
        <w:jc w:val="center"/>
        <w:tblBorders>
          <w:top w:val="none" w:sz="0" w:space="0" w:color="auto"/>
          <w:left w:val="none" w:sz="0" w:space="0" w:color="auto"/>
          <w:right w:val="none" w:sz="0" w:space="0" w:color="auto"/>
        </w:tblBorders>
        <w:tblLook w:val="0680" w:firstRow="0" w:lastRow="0" w:firstColumn="1" w:lastColumn="0" w:noHBand="1" w:noVBand="1"/>
      </w:tblPr>
      <w:tblGrid>
        <w:gridCol w:w="5480"/>
        <w:gridCol w:w="2291"/>
        <w:gridCol w:w="2525"/>
      </w:tblGrid>
      <w:tr w:rsidR="00E3617D" w:rsidRPr="00F539E5" w14:paraId="0DE0E504" w14:textId="77777777" w:rsidTr="00F10BE4">
        <w:trPr>
          <w:cantSplit/>
          <w:trHeight w:val="340"/>
          <w:jc w:val="center"/>
        </w:trPr>
        <w:tc>
          <w:tcPr>
            <w:tcW w:w="5480" w:type="dxa"/>
            <w:tcBorders>
              <w:top w:val="nil"/>
              <w:bottom w:val="nil"/>
              <w:right w:val="nil"/>
            </w:tcBorders>
            <w:shd w:val="clear" w:color="auto" w:fill="F79646" w:themeFill="accent6"/>
            <w:vAlign w:val="center"/>
          </w:tcPr>
          <w:p w14:paraId="524E0538" w14:textId="77777777" w:rsidR="00E3617D" w:rsidRPr="00F539E5" w:rsidRDefault="00E3617D" w:rsidP="00F6008B">
            <w:pPr>
              <w:rPr>
                <w:b/>
              </w:rPr>
            </w:pPr>
            <w:r w:rsidRPr="00F539E5">
              <w:rPr>
                <w:b/>
              </w:rPr>
              <w:t>Indicateurs</w:t>
            </w:r>
          </w:p>
        </w:tc>
        <w:tc>
          <w:tcPr>
            <w:tcW w:w="2291" w:type="dxa"/>
            <w:tcBorders>
              <w:top w:val="nil"/>
              <w:left w:val="nil"/>
              <w:bottom w:val="nil"/>
              <w:right w:val="nil"/>
            </w:tcBorders>
            <w:shd w:val="clear" w:color="auto" w:fill="F79646" w:themeFill="accent6"/>
            <w:vAlign w:val="center"/>
          </w:tcPr>
          <w:p w14:paraId="532F77DD" w14:textId="57537A48" w:rsidR="00E3617D" w:rsidRPr="00F539E5" w:rsidRDefault="00E3617D" w:rsidP="00F6008B">
            <w:pPr>
              <w:rPr>
                <w:b/>
              </w:rPr>
            </w:pPr>
            <w:r w:rsidRPr="00F539E5">
              <w:rPr>
                <w:b/>
              </w:rPr>
              <w:t>Réalisation</w:t>
            </w:r>
            <w:r>
              <w:rPr>
                <w:b/>
              </w:rPr>
              <w:t xml:space="preserve"> 201</w:t>
            </w:r>
            <w:r w:rsidR="008A3AD6">
              <w:rPr>
                <w:b/>
              </w:rPr>
              <w:t>4</w:t>
            </w:r>
            <w:r>
              <w:rPr>
                <w:b/>
              </w:rPr>
              <w:t>-1</w:t>
            </w:r>
            <w:r w:rsidR="008A3AD6">
              <w:rPr>
                <w:b/>
              </w:rPr>
              <w:t>5</w:t>
            </w:r>
          </w:p>
        </w:tc>
        <w:tc>
          <w:tcPr>
            <w:tcW w:w="2525" w:type="dxa"/>
            <w:tcBorders>
              <w:top w:val="nil"/>
              <w:left w:val="nil"/>
              <w:bottom w:val="nil"/>
            </w:tcBorders>
            <w:shd w:val="clear" w:color="auto" w:fill="F79646" w:themeFill="accent6"/>
            <w:vAlign w:val="center"/>
          </w:tcPr>
          <w:p w14:paraId="162B1568" w14:textId="2EBD109C" w:rsidR="00E3617D" w:rsidRPr="00F539E5" w:rsidRDefault="00E3617D" w:rsidP="00F6008B">
            <w:pPr>
              <w:rPr>
                <w:b/>
              </w:rPr>
            </w:pPr>
            <w:r w:rsidRPr="00F539E5">
              <w:rPr>
                <w:b/>
              </w:rPr>
              <w:t>Réalisation</w:t>
            </w:r>
            <w:r>
              <w:rPr>
                <w:b/>
              </w:rPr>
              <w:t xml:space="preserve"> 201</w:t>
            </w:r>
            <w:r w:rsidR="008A3AD6">
              <w:rPr>
                <w:b/>
              </w:rPr>
              <w:t>5</w:t>
            </w:r>
            <w:r>
              <w:rPr>
                <w:b/>
              </w:rPr>
              <w:t>-1</w:t>
            </w:r>
            <w:r w:rsidR="008A3AD6">
              <w:rPr>
                <w:b/>
              </w:rPr>
              <w:t>6</w:t>
            </w:r>
          </w:p>
        </w:tc>
      </w:tr>
      <w:tr w:rsidR="00E3617D" w:rsidRPr="00F539E5" w14:paraId="69BCFDE0" w14:textId="77777777" w:rsidTr="00F10BE4">
        <w:trPr>
          <w:cantSplit/>
          <w:trHeight w:val="340"/>
          <w:jc w:val="center"/>
        </w:trPr>
        <w:tc>
          <w:tcPr>
            <w:tcW w:w="5480" w:type="dxa"/>
            <w:tcBorders>
              <w:top w:val="nil"/>
              <w:bottom w:val="single" w:sz="4" w:space="0" w:color="auto"/>
              <w:right w:val="nil"/>
            </w:tcBorders>
            <w:vAlign w:val="center"/>
          </w:tcPr>
          <w:p w14:paraId="3C7938C0" w14:textId="77777777" w:rsidR="00E3617D" w:rsidRPr="00F539E5" w:rsidRDefault="00E3617D" w:rsidP="00F6008B">
            <w:pPr>
              <w:rPr>
                <w:b/>
              </w:rPr>
            </w:pPr>
            <w:r w:rsidRPr="00F539E5">
              <w:t>Nombre d’interventions médias</w:t>
            </w:r>
          </w:p>
        </w:tc>
        <w:tc>
          <w:tcPr>
            <w:tcW w:w="2291" w:type="dxa"/>
            <w:tcBorders>
              <w:top w:val="nil"/>
              <w:left w:val="nil"/>
              <w:bottom w:val="single" w:sz="4" w:space="0" w:color="auto"/>
              <w:right w:val="nil"/>
            </w:tcBorders>
            <w:vAlign w:val="center"/>
          </w:tcPr>
          <w:p w14:paraId="0A5B3822" w14:textId="2632F635" w:rsidR="00E3617D" w:rsidRPr="00F539E5" w:rsidRDefault="00EA5387" w:rsidP="00F6008B">
            <w:r>
              <w:t>268</w:t>
            </w:r>
          </w:p>
        </w:tc>
        <w:tc>
          <w:tcPr>
            <w:tcW w:w="2525" w:type="dxa"/>
            <w:tcBorders>
              <w:top w:val="nil"/>
              <w:left w:val="nil"/>
              <w:bottom w:val="single" w:sz="4" w:space="0" w:color="auto"/>
            </w:tcBorders>
            <w:vAlign w:val="center"/>
          </w:tcPr>
          <w:p w14:paraId="118300A9" w14:textId="0C1C1850" w:rsidR="00E3617D" w:rsidRPr="00F539E5" w:rsidRDefault="00EA5387" w:rsidP="00F6008B">
            <w:r>
              <w:t>290</w:t>
            </w:r>
            <w:r w:rsidR="001D607D">
              <w:t xml:space="preserve"> (+8,20%)</w:t>
            </w:r>
          </w:p>
        </w:tc>
      </w:tr>
      <w:tr w:rsidR="00E3617D" w:rsidRPr="00F539E5" w14:paraId="6D09B8AE" w14:textId="77777777" w:rsidTr="00F10BE4">
        <w:trPr>
          <w:cantSplit/>
          <w:trHeight w:val="597"/>
          <w:jc w:val="center"/>
        </w:trPr>
        <w:tc>
          <w:tcPr>
            <w:tcW w:w="5480" w:type="dxa"/>
            <w:tcBorders>
              <w:top w:val="single" w:sz="4" w:space="0" w:color="auto"/>
              <w:bottom w:val="nil"/>
              <w:right w:val="nil"/>
            </w:tcBorders>
            <w:vAlign w:val="center"/>
          </w:tcPr>
          <w:p w14:paraId="12647A35" w14:textId="77777777" w:rsidR="00E3617D" w:rsidRPr="00F539E5" w:rsidRDefault="00E3617D" w:rsidP="00F6008B">
            <w:pPr>
              <w:rPr>
                <w:b/>
              </w:rPr>
            </w:pPr>
            <w:r w:rsidRPr="00F539E5">
              <w:t xml:space="preserve">Page Facebook : </w:t>
            </w:r>
          </w:p>
          <w:p w14:paraId="33B0F216" w14:textId="77777777" w:rsidR="00E3617D" w:rsidRPr="00F539E5" w:rsidRDefault="00E3617D" w:rsidP="00F6008B">
            <w:pPr>
              <w:ind w:left="284"/>
              <w:rPr>
                <w:b/>
              </w:rPr>
            </w:pPr>
            <w:r w:rsidRPr="00F539E5">
              <w:t>- nombre de mentions « J’aime »</w:t>
            </w:r>
          </w:p>
        </w:tc>
        <w:tc>
          <w:tcPr>
            <w:tcW w:w="2291" w:type="dxa"/>
            <w:tcBorders>
              <w:top w:val="single" w:sz="4" w:space="0" w:color="auto"/>
              <w:left w:val="nil"/>
              <w:bottom w:val="nil"/>
              <w:right w:val="nil"/>
            </w:tcBorders>
            <w:vAlign w:val="center"/>
          </w:tcPr>
          <w:p w14:paraId="595D7E4B" w14:textId="77777777" w:rsidR="00E3617D" w:rsidRPr="00F539E5" w:rsidRDefault="00E3617D" w:rsidP="00E3617D"/>
          <w:p w14:paraId="58519B74" w14:textId="4592E136" w:rsidR="00E3617D" w:rsidRPr="00F539E5" w:rsidRDefault="00EA5387" w:rsidP="00F6008B">
            <w:r>
              <w:t>1 714</w:t>
            </w:r>
            <w:r w:rsidR="00E3617D" w:rsidRPr="00F539E5">
              <w:t xml:space="preserve"> (+</w:t>
            </w:r>
            <w:r>
              <w:t>30</w:t>
            </w:r>
            <w:r w:rsidR="00E3617D" w:rsidRPr="00F539E5">
              <w:t>%)</w:t>
            </w:r>
          </w:p>
        </w:tc>
        <w:tc>
          <w:tcPr>
            <w:tcW w:w="2525" w:type="dxa"/>
            <w:tcBorders>
              <w:top w:val="single" w:sz="4" w:space="0" w:color="auto"/>
              <w:left w:val="nil"/>
              <w:bottom w:val="nil"/>
            </w:tcBorders>
            <w:vAlign w:val="center"/>
          </w:tcPr>
          <w:p w14:paraId="2643FDA0" w14:textId="3C5CB8C2" w:rsidR="00E3617D" w:rsidRPr="00F539E5" w:rsidRDefault="00E3617D" w:rsidP="00F6008B"/>
          <w:p w14:paraId="1965AF7B" w14:textId="6E71152E" w:rsidR="00E3617D" w:rsidRPr="00F539E5" w:rsidRDefault="00043EAD" w:rsidP="00F6008B">
            <w:r>
              <w:t xml:space="preserve">2 160 </w:t>
            </w:r>
            <w:r w:rsidR="00E3617D">
              <w:t>(+</w:t>
            </w:r>
            <w:r>
              <w:t>27</w:t>
            </w:r>
            <w:r w:rsidR="00E3617D" w:rsidRPr="00F539E5">
              <w:t>%)</w:t>
            </w:r>
          </w:p>
        </w:tc>
      </w:tr>
      <w:tr w:rsidR="00E3617D" w:rsidRPr="00F539E5" w14:paraId="64B666CD" w14:textId="77777777" w:rsidTr="00F10BE4">
        <w:trPr>
          <w:cantSplit/>
          <w:trHeight w:val="563"/>
          <w:jc w:val="center"/>
        </w:trPr>
        <w:tc>
          <w:tcPr>
            <w:tcW w:w="5480" w:type="dxa"/>
            <w:tcBorders>
              <w:top w:val="nil"/>
              <w:bottom w:val="nil"/>
              <w:right w:val="nil"/>
            </w:tcBorders>
            <w:vAlign w:val="center"/>
          </w:tcPr>
          <w:p w14:paraId="28FED17D" w14:textId="77777777" w:rsidR="00E3617D" w:rsidRPr="00F539E5" w:rsidRDefault="00E3617D" w:rsidP="00F6008B">
            <w:pPr>
              <w:tabs>
                <w:tab w:val="left" w:pos="284"/>
              </w:tabs>
              <w:ind w:left="284"/>
              <w:rPr>
                <w:b/>
              </w:rPr>
            </w:pPr>
            <w:r w:rsidRPr="00F539E5">
              <w:t>- nombre de «Personnes qui en parlent» : utilisateurs uniques qui aiment, partagent ou commentent</w:t>
            </w:r>
          </w:p>
        </w:tc>
        <w:tc>
          <w:tcPr>
            <w:tcW w:w="2291" w:type="dxa"/>
            <w:tcBorders>
              <w:top w:val="nil"/>
              <w:left w:val="nil"/>
              <w:bottom w:val="nil"/>
              <w:right w:val="nil"/>
            </w:tcBorders>
            <w:vAlign w:val="center"/>
          </w:tcPr>
          <w:p w14:paraId="2D88BB55" w14:textId="034668FF" w:rsidR="00E3617D" w:rsidRPr="00F539E5" w:rsidRDefault="00EA5387" w:rsidP="00F6008B">
            <w:r>
              <w:t>1 541 (</w:t>
            </w:r>
            <w:r w:rsidR="00043EAD">
              <w:t>+23%)</w:t>
            </w:r>
          </w:p>
        </w:tc>
        <w:tc>
          <w:tcPr>
            <w:tcW w:w="2525" w:type="dxa"/>
            <w:tcBorders>
              <w:top w:val="nil"/>
              <w:left w:val="nil"/>
              <w:bottom w:val="nil"/>
            </w:tcBorders>
            <w:vAlign w:val="center"/>
          </w:tcPr>
          <w:p w14:paraId="52B78000" w14:textId="2E7EA9AE" w:rsidR="00E3617D" w:rsidRPr="00F539E5" w:rsidRDefault="00043EAD" w:rsidP="00F6008B">
            <w:r>
              <w:t>9 993</w:t>
            </w:r>
            <w:r w:rsidR="00E3617D">
              <w:t xml:space="preserve"> (+</w:t>
            </w:r>
            <w:r>
              <w:t>548</w:t>
            </w:r>
            <w:r w:rsidR="00E3617D">
              <w:t>%)</w:t>
            </w:r>
          </w:p>
        </w:tc>
      </w:tr>
      <w:tr w:rsidR="00E3617D" w:rsidRPr="00F539E5" w14:paraId="1EB427E1" w14:textId="77777777" w:rsidTr="00F10BE4">
        <w:trPr>
          <w:cantSplit/>
          <w:trHeight w:val="840"/>
          <w:jc w:val="center"/>
        </w:trPr>
        <w:tc>
          <w:tcPr>
            <w:tcW w:w="5480" w:type="dxa"/>
            <w:tcBorders>
              <w:top w:val="nil"/>
              <w:bottom w:val="nil"/>
              <w:right w:val="nil"/>
            </w:tcBorders>
            <w:vAlign w:val="center"/>
          </w:tcPr>
          <w:p w14:paraId="4492A867" w14:textId="77777777" w:rsidR="00E3617D" w:rsidRPr="00F539E5" w:rsidRDefault="00E3617D" w:rsidP="00F6008B">
            <w:pPr>
              <w:tabs>
                <w:tab w:val="left" w:pos="284"/>
              </w:tabs>
              <w:ind w:left="284"/>
              <w:rPr>
                <w:b/>
              </w:rPr>
            </w:pPr>
            <w:r w:rsidRPr="00F539E5">
              <w:t>- nombre d’utilisateurs uniques ayant vu la page ou une de ses publications à partir d’une actualité partagée par un ami (portée virale)</w:t>
            </w:r>
          </w:p>
        </w:tc>
        <w:tc>
          <w:tcPr>
            <w:tcW w:w="2291" w:type="dxa"/>
            <w:tcBorders>
              <w:top w:val="nil"/>
              <w:left w:val="nil"/>
              <w:bottom w:val="nil"/>
              <w:right w:val="nil"/>
            </w:tcBorders>
            <w:vAlign w:val="center"/>
          </w:tcPr>
          <w:p w14:paraId="7558AA13" w14:textId="4C403BCC" w:rsidR="00E3617D" w:rsidRPr="00F539E5" w:rsidRDefault="00043EAD" w:rsidP="00F6008B">
            <w:r>
              <w:t>34 642</w:t>
            </w:r>
          </w:p>
        </w:tc>
        <w:tc>
          <w:tcPr>
            <w:tcW w:w="2525" w:type="dxa"/>
            <w:tcBorders>
              <w:top w:val="nil"/>
              <w:left w:val="nil"/>
              <w:bottom w:val="nil"/>
            </w:tcBorders>
            <w:vAlign w:val="center"/>
          </w:tcPr>
          <w:p w14:paraId="495360C4" w14:textId="39EAB88E" w:rsidR="00E3617D" w:rsidRPr="00F539E5" w:rsidRDefault="00043EAD" w:rsidP="00F6008B">
            <w:r>
              <w:t>33 754</w:t>
            </w:r>
            <w:r w:rsidR="00E3617D">
              <w:t xml:space="preserve"> (-</w:t>
            </w:r>
            <w:r>
              <w:t>2</w:t>
            </w:r>
            <w:r w:rsidR="00E3617D">
              <w:t>,5%)</w:t>
            </w:r>
          </w:p>
        </w:tc>
      </w:tr>
      <w:tr w:rsidR="00E3617D" w:rsidRPr="00F539E5" w14:paraId="585958F6" w14:textId="77777777" w:rsidTr="00F10BE4">
        <w:trPr>
          <w:cantSplit/>
          <w:trHeight w:val="696"/>
          <w:jc w:val="center"/>
        </w:trPr>
        <w:tc>
          <w:tcPr>
            <w:tcW w:w="5480" w:type="dxa"/>
            <w:tcBorders>
              <w:top w:val="nil"/>
              <w:right w:val="nil"/>
            </w:tcBorders>
            <w:vAlign w:val="center"/>
          </w:tcPr>
          <w:p w14:paraId="006AB311" w14:textId="77777777" w:rsidR="00E3617D" w:rsidRPr="00F539E5" w:rsidRDefault="00E3617D" w:rsidP="00F6008B">
            <w:pPr>
              <w:tabs>
                <w:tab w:val="left" w:pos="284"/>
              </w:tabs>
              <w:ind w:left="284"/>
              <w:rPr>
                <w:b/>
              </w:rPr>
            </w:pPr>
            <w:r w:rsidRPr="00F539E5">
              <w:t>- nombre d’utilisateurs uniques ayant vu du contenu associé à la page (audience totale)</w:t>
            </w:r>
          </w:p>
        </w:tc>
        <w:tc>
          <w:tcPr>
            <w:tcW w:w="2291" w:type="dxa"/>
            <w:tcBorders>
              <w:top w:val="nil"/>
              <w:left w:val="nil"/>
              <w:right w:val="nil"/>
            </w:tcBorders>
            <w:vAlign w:val="center"/>
          </w:tcPr>
          <w:p w14:paraId="388FA7E7" w14:textId="7CB6F1A1" w:rsidR="00E3617D" w:rsidRPr="00F539E5" w:rsidRDefault="00043EAD" w:rsidP="00F6008B">
            <w:r>
              <w:t>57 016</w:t>
            </w:r>
          </w:p>
        </w:tc>
        <w:tc>
          <w:tcPr>
            <w:tcW w:w="2525" w:type="dxa"/>
            <w:tcBorders>
              <w:top w:val="nil"/>
              <w:left w:val="nil"/>
            </w:tcBorders>
            <w:vAlign w:val="center"/>
          </w:tcPr>
          <w:p w14:paraId="18643BDD" w14:textId="445BD7D4" w:rsidR="00E3617D" w:rsidRPr="00F539E5" w:rsidRDefault="00043EAD" w:rsidP="00043EAD">
            <w:r>
              <w:t>151 293</w:t>
            </w:r>
            <w:r w:rsidR="00E3617D">
              <w:t xml:space="preserve"> (</w:t>
            </w:r>
            <w:r>
              <w:t>+165</w:t>
            </w:r>
            <w:r w:rsidR="00E3617D">
              <w:t>%)</w:t>
            </w:r>
          </w:p>
        </w:tc>
      </w:tr>
      <w:tr w:rsidR="00E3617D" w:rsidRPr="00F539E5" w14:paraId="4F33D38E" w14:textId="77777777" w:rsidTr="00F10BE4">
        <w:trPr>
          <w:cantSplit/>
          <w:trHeight w:val="592"/>
          <w:jc w:val="center"/>
        </w:trPr>
        <w:tc>
          <w:tcPr>
            <w:tcW w:w="5480" w:type="dxa"/>
            <w:tcBorders>
              <w:top w:val="single" w:sz="4" w:space="0" w:color="auto"/>
              <w:right w:val="nil"/>
            </w:tcBorders>
            <w:vAlign w:val="center"/>
          </w:tcPr>
          <w:p w14:paraId="76B6CC3D" w14:textId="77777777" w:rsidR="00E3617D" w:rsidRPr="00F539E5" w:rsidRDefault="00E3617D" w:rsidP="00F6008B">
            <w:pPr>
              <w:rPr>
                <w:b/>
              </w:rPr>
            </w:pPr>
            <w:r w:rsidRPr="00F539E5">
              <w:t>Compte Twitter :</w:t>
            </w:r>
          </w:p>
          <w:p w14:paraId="5DC633D9" w14:textId="77777777" w:rsidR="00E3617D" w:rsidRPr="00F539E5" w:rsidRDefault="00E3617D" w:rsidP="00F6008B">
            <w:pPr>
              <w:ind w:left="284"/>
              <w:rPr>
                <w:b/>
              </w:rPr>
            </w:pPr>
            <w:r w:rsidRPr="00F539E5">
              <w:t>- nombre d’abonnés</w:t>
            </w:r>
          </w:p>
        </w:tc>
        <w:tc>
          <w:tcPr>
            <w:tcW w:w="2291" w:type="dxa"/>
            <w:tcBorders>
              <w:top w:val="single" w:sz="4" w:space="0" w:color="auto"/>
              <w:left w:val="nil"/>
              <w:right w:val="nil"/>
            </w:tcBorders>
            <w:vAlign w:val="center"/>
          </w:tcPr>
          <w:p w14:paraId="30FD8F30" w14:textId="77777777" w:rsidR="00E3617D" w:rsidRPr="00F539E5" w:rsidRDefault="00E3617D" w:rsidP="00E3617D"/>
          <w:p w14:paraId="13250C52" w14:textId="7AD94D4F" w:rsidR="00E3617D" w:rsidRPr="00F539E5" w:rsidRDefault="00043EAD" w:rsidP="00F6008B">
            <w:r>
              <w:t>1054</w:t>
            </w:r>
            <w:r w:rsidRPr="00F539E5">
              <w:t xml:space="preserve"> </w:t>
            </w:r>
            <w:r w:rsidR="00E3617D" w:rsidRPr="00F539E5">
              <w:t>(+</w:t>
            </w:r>
            <w:r>
              <w:t>73</w:t>
            </w:r>
            <w:r w:rsidR="00E3617D" w:rsidRPr="00F539E5">
              <w:t>%)</w:t>
            </w:r>
          </w:p>
        </w:tc>
        <w:tc>
          <w:tcPr>
            <w:tcW w:w="2525" w:type="dxa"/>
            <w:tcBorders>
              <w:top w:val="single" w:sz="4" w:space="0" w:color="auto"/>
              <w:left w:val="nil"/>
            </w:tcBorders>
            <w:vAlign w:val="center"/>
          </w:tcPr>
          <w:p w14:paraId="17BFF70F" w14:textId="7383BFB3" w:rsidR="00E3617D" w:rsidRPr="00F539E5" w:rsidRDefault="00E3617D" w:rsidP="00F6008B"/>
          <w:p w14:paraId="3A75AB27" w14:textId="758CE3D3" w:rsidR="00E3617D" w:rsidRPr="00F539E5" w:rsidRDefault="00043EAD" w:rsidP="00F6008B">
            <w:r>
              <w:t xml:space="preserve">1578 </w:t>
            </w:r>
            <w:r w:rsidR="00DC6E1D">
              <w:t>(+</w:t>
            </w:r>
            <w:r>
              <w:t>57</w:t>
            </w:r>
            <w:r w:rsidR="00E3617D" w:rsidRPr="00F539E5">
              <w:t>%)</w:t>
            </w:r>
          </w:p>
        </w:tc>
      </w:tr>
      <w:tr w:rsidR="00E3617D" w:rsidRPr="00F539E5" w14:paraId="21C4E808" w14:textId="77777777" w:rsidTr="00F10BE4">
        <w:trPr>
          <w:cantSplit/>
          <w:trHeight w:val="806"/>
          <w:jc w:val="center"/>
        </w:trPr>
        <w:tc>
          <w:tcPr>
            <w:tcW w:w="5480" w:type="dxa"/>
            <w:tcBorders>
              <w:top w:val="single" w:sz="4" w:space="0" w:color="auto"/>
              <w:bottom w:val="single" w:sz="4" w:space="0" w:color="auto"/>
              <w:right w:val="nil"/>
            </w:tcBorders>
            <w:vAlign w:val="center"/>
          </w:tcPr>
          <w:p w14:paraId="1247C701" w14:textId="77777777" w:rsidR="00E3617D" w:rsidRPr="00F539E5" w:rsidRDefault="00E3617D" w:rsidP="00F6008B">
            <w:pPr>
              <w:rPr>
                <w:b/>
              </w:rPr>
            </w:pPr>
            <w:r w:rsidRPr="00F539E5">
              <w:t>Chaîne YouTube :</w:t>
            </w:r>
          </w:p>
          <w:p w14:paraId="66AA31BA" w14:textId="77777777" w:rsidR="00E3617D" w:rsidRPr="00F539E5" w:rsidRDefault="00E3617D" w:rsidP="00F6008B">
            <w:pPr>
              <w:ind w:left="284"/>
              <w:rPr>
                <w:b/>
              </w:rPr>
            </w:pPr>
            <w:r w:rsidRPr="00F539E5">
              <w:t>- nombre d’abonnés</w:t>
            </w:r>
          </w:p>
          <w:p w14:paraId="2A428789" w14:textId="77777777" w:rsidR="00E3617D" w:rsidRPr="00F539E5" w:rsidRDefault="00E3617D" w:rsidP="00F6008B">
            <w:pPr>
              <w:ind w:left="284"/>
              <w:rPr>
                <w:b/>
              </w:rPr>
            </w:pPr>
            <w:r w:rsidRPr="00F539E5">
              <w:t>- nombre de vues</w:t>
            </w:r>
          </w:p>
        </w:tc>
        <w:tc>
          <w:tcPr>
            <w:tcW w:w="2291" w:type="dxa"/>
            <w:tcBorders>
              <w:top w:val="single" w:sz="4" w:space="0" w:color="auto"/>
              <w:left w:val="nil"/>
              <w:bottom w:val="single" w:sz="4" w:space="0" w:color="auto"/>
              <w:right w:val="nil"/>
            </w:tcBorders>
            <w:vAlign w:val="center"/>
          </w:tcPr>
          <w:p w14:paraId="41AA6981" w14:textId="77777777" w:rsidR="00E3617D" w:rsidRPr="00F539E5" w:rsidRDefault="00E3617D" w:rsidP="00E3617D"/>
          <w:p w14:paraId="419E5C8B" w14:textId="390D066C" w:rsidR="00E3617D" w:rsidRPr="00F539E5" w:rsidRDefault="00043EAD" w:rsidP="00E3617D">
            <w:r>
              <w:t>167 (+76%)</w:t>
            </w:r>
          </w:p>
          <w:p w14:paraId="009F80E0" w14:textId="43BC1EF2" w:rsidR="00E3617D" w:rsidRPr="00F539E5" w:rsidRDefault="00043EAD" w:rsidP="00F6008B">
            <w:r>
              <w:t>17 793 (+36%)</w:t>
            </w:r>
          </w:p>
        </w:tc>
        <w:tc>
          <w:tcPr>
            <w:tcW w:w="2525" w:type="dxa"/>
            <w:tcBorders>
              <w:top w:val="single" w:sz="4" w:space="0" w:color="auto"/>
              <w:left w:val="nil"/>
              <w:bottom w:val="single" w:sz="4" w:space="0" w:color="auto"/>
            </w:tcBorders>
            <w:vAlign w:val="center"/>
          </w:tcPr>
          <w:p w14:paraId="555659E0" w14:textId="585092D2" w:rsidR="00E3617D" w:rsidRPr="00F539E5" w:rsidRDefault="00E3617D" w:rsidP="00F6008B"/>
          <w:p w14:paraId="6CC2CEAC" w14:textId="3AE0A100" w:rsidR="00E3617D" w:rsidRPr="00F539E5" w:rsidRDefault="00043EAD" w:rsidP="00F6008B">
            <w:r>
              <w:t xml:space="preserve">313 </w:t>
            </w:r>
            <w:r w:rsidR="00DC6E1D">
              <w:t>(+</w:t>
            </w:r>
            <w:r>
              <w:t>55</w:t>
            </w:r>
            <w:r w:rsidR="00DC6E1D">
              <w:t>%)</w:t>
            </w:r>
          </w:p>
          <w:p w14:paraId="087F96B2" w14:textId="23A64458" w:rsidR="00E3617D" w:rsidRPr="00F539E5" w:rsidRDefault="00043EAD" w:rsidP="00347F35">
            <w:r>
              <w:t>18 825 (</w:t>
            </w:r>
            <w:r w:rsidR="003E5340">
              <w:t>+</w:t>
            </w:r>
            <w:r>
              <w:t>6</w:t>
            </w:r>
            <w:r w:rsidR="00347F35">
              <w:t>%)</w:t>
            </w:r>
          </w:p>
        </w:tc>
      </w:tr>
      <w:tr w:rsidR="00E02290" w:rsidRPr="00F539E5" w14:paraId="28F28BFC" w14:textId="77777777" w:rsidTr="00F10BE4">
        <w:trPr>
          <w:cantSplit/>
          <w:trHeight w:val="267"/>
          <w:jc w:val="center"/>
        </w:trPr>
        <w:tc>
          <w:tcPr>
            <w:tcW w:w="5480" w:type="dxa"/>
            <w:tcBorders>
              <w:top w:val="single" w:sz="4" w:space="0" w:color="auto"/>
              <w:bottom w:val="single" w:sz="4" w:space="0" w:color="auto"/>
              <w:right w:val="nil"/>
            </w:tcBorders>
            <w:vAlign w:val="center"/>
          </w:tcPr>
          <w:p w14:paraId="408F110D" w14:textId="77777777" w:rsidR="00AE2A34" w:rsidRDefault="00E02290" w:rsidP="00976BDA">
            <w:r>
              <w:t>Groupe Linked</w:t>
            </w:r>
            <w:r w:rsidR="00AE2A34">
              <w:t>In</w:t>
            </w:r>
            <w:r w:rsidR="00976BDA">
              <w:t> :</w:t>
            </w:r>
            <w:r>
              <w:t xml:space="preserve"> </w:t>
            </w:r>
          </w:p>
          <w:p w14:paraId="7E9224B4" w14:textId="52C1FB87" w:rsidR="00976BDA" w:rsidRPr="009B447A" w:rsidRDefault="00AE2A34" w:rsidP="00BF5E59">
            <w:pPr>
              <w:ind w:left="284"/>
            </w:pPr>
            <w:r>
              <w:t xml:space="preserve">- </w:t>
            </w:r>
            <w:r w:rsidR="00E02290" w:rsidRPr="00F539E5">
              <w:t>nombre de membres</w:t>
            </w:r>
          </w:p>
        </w:tc>
        <w:tc>
          <w:tcPr>
            <w:tcW w:w="2291" w:type="dxa"/>
            <w:tcBorders>
              <w:top w:val="single" w:sz="4" w:space="0" w:color="auto"/>
              <w:left w:val="nil"/>
              <w:bottom w:val="single" w:sz="4" w:space="0" w:color="auto"/>
              <w:right w:val="nil"/>
            </w:tcBorders>
            <w:vAlign w:val="center"/>
          </w:tcPr>
          <w:p w14:paraId="563F9C06" w14:textId="3C98B9C3" w:rsidR="00E02290" w:rsidRPr="00F539E5" w:rsidRDefault="00043EAD" w:rsidP="00976BDA">
            <w:r>
              <w:t>184 (+44%)</w:t>
            </w:r>
          </w:p>
        </w:tc>
        <w:tc>
          <w:tcPr>
            <w:tcW w:w="2525" w:type="dxa"/>
            <w:tcBorders>
              <w:top w:val="single" w:sz="4" w:space="0" w:color="auto"/>
              <w:left w:val="nil"/>
              <w:bottom w:val="single" w:sz="4" w:space="0" w:color="auto"/>
            </w:tcBorders>
            <w:vAlign w:val="center"/>
          </w:tcPr>
          <w:p w14:paraId="08DD32CD" w14:textId="137A114F" w:rsidR="00E02290" w:rsidRPr="00F539E5" w:rsidRDefault="00043EAD" w:rsidP="00976BDA">
            <w:r>
              <w:t xml:space="preserve">214 </w:t>
            </w:r>
            <w:r w:rsidR="00707149">
              <w:t>(+</w:t>
            </w:r>
            <w:r>
              <w:t>16</w:t>
            </w:r>
            <w:r w:rsidR="00707149">
              <w:t>%)</w:t>
            </w:r>
          </w:p>
        </w:tc>
      </w:tr>
    </w:tbl>
    <w:p w14:paraId="7BF10E25" w14:textId="77777777" w:rsidR="00D303F9" w:rsidRPr="00F539E5" w:rsidRDefault="00D303F9" w:rsidP="00D303F9">
      <w:pPr>
        <w:jc w:val="both"/>
        <w:rPr>
          <w:b/>
        </w:rPr>
      </w:pPr>
    </w:p>
    <w:p w14:paraId="69B8AC35" w14:textId="77777777" w:rsidR="00D303F9" w:rsidRPr="00F539E5" w:rsidRDefault="00D303F9" w:rsidP="00D303F9">
      <w:pPr>
        <w:jc w:val="both"/>
        <w:rPr>
          <w:b/>
        </w:rPr>
      </w:pPr>
    </w:p>
    <w:p w14:paraId="6CB35660" w14:textId="77777777" w:rsidR="00D303F9" w:rsidRDefault="00D303F9" w:rsidP="00D303F9">
      <w:pPr>
        <w:jc w:val="both"/>
        <w:rPr>
          <w:b/>
        </w:rPr>
      </w:pPr>
    </w:p>
    <w:p w14:paraId="10C6688B" w14:textId="77777777" w:rsidR="003F208A" w:rsidRPr="00F539E5" w:rsidRDefault="003F208A" w:rsidP="00D303F9">
      <w:pPr>
        <w:jc w:val="both"/>
        <w:rPr>
          <w:b/>
        </w:rPr>
      </w:pPr>
    </w:p>
    <w:p w14:paraId="6D18788F" w14:textId="7D18D6B1" w:rsidR="00D303F9" w:rsidRPr="00F539E5" w:rsidRDefault="00D303F9" w:rsidP="00F10BE4">
      <w:pPr>
        <w:jc w:val="both"/>
      </w:pPr>
      <w:r w:rsidRPr="004A687D">
        <w:rPr>
          <w:b/>
        </w:rPr>
        <w:t>Liste exhaustive des supports médiatiques</w:t>
      </w:r>
    </w:p>
    <w:tbl>
      <w:tblPr>
        <w:tblStyle w:val="Grilledutableau"/>
        <w:tblpPr w:leftFromText="142" w:rightFromText="142" w:vertAnchor="text" w:horzAnchor="page" w:tblpX="1351" w:tblpY="157"/>
        <w:tblW w:w="955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2418"/>
        <w:gridCol w:w="1786"/>
        <w:gridCol w:w="3220"/>
      </w:tblGrid>
      <w:tr w:rsidR="00D303F9" w:rsidRPr="00F539E5" w14:paraId="63785CE7" w14:textId="77777777" w:rsidTr="00F6008B">
        <w:trPr>
          <w:trHeight w:val="340"/>
        </w:trPr>
        <w:tc>
          <w:tcPr>
            <w:tcW w:w="2126" w:type="dxa"/>
            <w:tcBorders>
              <w:bottom w:val="nil"/>
            </w:tcBorders>
            <w:shd w:val="clear" w:color="auto" w:fill="F79646" w:themeFill="accent6"/>
            <w:vAlign w:val="center"/>
            <w:hideMark/>
          </w:tcPr>
          <w:p w14:paraId="5ED6082C" w14:textId="77777777" w:rsidR="00D303F9" w:rsidRPr="00F539E5" w:rsidRDefault="00D303F9" w:rsidP="00F6008B">
            <w:pPr>
              <w:rPr>
                <w:rFonts w:eastAsia="Times New Roman" w:cs="Times New Roman"/>
                <w:b/>
                <w:bCs/>
                <w:color w:val="000000"/>
              </w:rPr>
            </w:pPr>
            <w:r w:rsidRPr="00F539E5">
              <w:rPr>
                <w:rFonts w:eastAsia="Times New Roman" w:cs="Times New Roman"/>
                <w:b/>
                <w:color w:val="000000"/>
              </w:rPr>
              <w:t>Niveau</w:t>
            </w:r>
          </w:p>
        </w:tc>
        <w:tc>
          <w:tcPr>
            <w:tcW w:w="2418" w:type="dxa"/>
            <w:tcBorders>
              <w:bottom w:val="nil"/>
            </w:tcBorders>
            <w:shd w:val="clear" w:color="auto" w:fill="F79646" w:themeFill="accent6"/>
            <w:vAlign w:val="center"/>
            <w:hideMark/>
          </w:tcPr>
          <w:p w14:paraId="5404747F" w14:textId="77777777" w:rsidR="00D303F9" w:rsidRPr="00F539E5" w:rsidRDefault="00D303F9" w:rsidP="00F6008B">
            <w:pPr>
              <w:rPr>
                <w:rFonts w:eastAsia="Times New Roman" w:cs="Times New Roman"/>
                <w:b/>
                <w:bCs/>
                <w:color w:val="000000"/>
              </w:rPr>
            </w:pPr>
            <w:r w:rsidRPr="00F539E5">
              <w:rPr>
                <w:rFonts w:eastAsia="Times New Roman" w:cs="Times New Roman"/>
                <w:b/>
                <w:color w:val="000000"/>
              </w:rPr>
              <w:t>Local</w:t>
            </w:r>
          </w:p>
        </w:tc>
        <w:tc>
          <w:tcPr>
            <w:tcW w:w="1786" w:type="dxa"/>
            <w:tcBorders>
              <w:bottom w:val="nil"/>
            </w:tcBorders>
            <w:shd w:val="clear" w:color="auto" w:fill="F79646" w:themeFill="accent6"/>
            <w:vAlign w:val="center"/>
            <w:hideMark/>
          </w:tcPr>
          <w:p w14:paraId="49F61749" w14:textId="77777777" w:rsidR="00D303F9" w:rsidRPr="00F539E5" w:rsidRDefault="00D303F9" w:rsidP="00F6008B">
            <w:pPr>
              <w:rPr>
                <w:rFonts w:eastAsia="Times New Roman" w:cs="Times New Roman"/>
                <w:b/>
                <w:bCs/>
                <w:color w:val="000000"/>
              </w:rPr>
            </w:pPr>
            <w:r w:rsidRPr="00F539E5">
              <w:rPr>
                <w:rFonts w:eastAsia="Times New Roman" w:cs="Times New Roman"/>
                <w:b/>
                <w:color w:val="000000"/>
              </w:rPr>
              <w:t>National</w:t>
            </w:r>
          </w:p>
        </w:tc>
        <w:tc>
          <w:tcPr>
            <w:tcW w:w="3220" w:type="dxa"/>
            <w:tcBorders>
              <w:bottom w:val="nil"/>
            </w:tcBorders>
            <w:shd w:val="clear" w:color="auto" w:fill="F79646" w:themeFill="accent6"/>
            <w:vAlign w:val="center"/>
            <w:hideMark/>
          </w:tcPr>
          <w:p w14:paraId="00E81B9F" w14:textId="77777777" w:rsidR="00D303F9" w:rsidRPr="00F539E5" w:rsidRDefault="00D303F9" w:rsidP="00F6008B">
            <w:pPr>
              <w:rPr>
                <w:rFonts w:eastAsia="Times New Roman" w:cs="Times New Roman"/>
                <w:b/>
                <w:bCs/>
                <w:color w:val="000000"/>
              </w:rPr>
            </w:pPr>
            <w:r w:rsidRPr="00F539E5">
              <w:rPr>
                <w:rFonts w:eastAsia="Times New Roman" w:cs="Times New Roman"/>
                <w:b/>
                <w:color w:val="000000"/>
              </w:rPr>
              <w:t>International</w:t>
            </w:r>
          </w:p>
        </w:tc>
      </w:tr>
      <w:tr w:rsidR="00D303F9" w:rsidRPr="00F539E5" w14:paraId="11B7C92D" w14:textId="77777777" w:rsidTr="00F6008B">
        <w:trPr>
          <w:trHeight w:val="298"/>
        </w:trPr>
        <w:tc>
          <w:tcPr>
            <w:tcW w:w="2126" w:type="dxa"/>
            <w:tcBorders>
              <w:top w:val="nil"/>
              <w:bottom w:val="nil"/>
            </w:tcBorders>
            <w:vAlign w:val="center"/>
          </w:tcPr>
          <w:p w14:paraId="1B910853" w14:textId="77777777" w:rsidR="00D303F9" w:rsidRPr="00F539E5" w:rsidRDefault="00D303F9" w:rsidP="00F6008B">
            <w:pPr>
              <w:rPr>
                <w:rFonts w:eastAsia="Times New Roman" w:cs="Times New Roman"/>
                <w:color w:val="000000"/>
              </w:rPr>
            </w:pPr>
          </w:p>
        </w:tc>
        <w:tc>
          <w:tcPr>
            <w:tcW w:w="2418" w:type="dxa"/>
            <w:tcBorders>
              <w:top w:val="nil"/>
              <w:bottom w:val="nil"/>
            </w:tcBorders>
            <w:vAlign w:val="center"/>
          </w:tcPr>
          <w:p w14:paraId="25F92781" w14:textId="77777777" w:rsidR="00D303F9" w:rsidRPr="00F539E5" w:rsidRDefault="00D303F9" w:rsidP="00F6008B">
            <w:pPr>
              <w:rPr>
                <w:rFonts w:eastAsia="Times New Roman" w:cs="Times New Roman"/>
                <w:color w:val="000000"/>
              </w:rPr>
            </w:pPr>
          </w:p>
        </w:tc>
        <w:tc>
          <w:tcPr>
            <w:tcW w:w="1786" w:type="dxa"/>
            <w:tcBorders>
              <w:top w:val="nil"/>
              <w:bottom w:val="nil"/>
            </w:tcBorders>
            <w:vAlign w:val="center"/>
          </w:tcPr>
          <w:p w14:paraId="626D410D" w14:textId="77777777" w:rsidR="00D303F9" w:rsidRPr="00F539E5" w:rsidRDefault="00D303F9" w:rsidP="00F6008B">
            <w:pPr>
              <w:rPr>
                <w:rFonts w:eastAsia="Times New Roman" w:cs="Times New Roman"/>
                <w:color w:val="000000"/>
              </w:rPr>
            </w:pPr>
          </w:p>
        </w:tc>
        <w:tc>
          <w:tcPr>
            <w:tcW w:w="3220" w:type="dxa"/>
            <w:tcBorders>
              <w:top w:val="nil"/>
              <w:bottom w:val="nil"/>
            </w:tcBorders>
            <w:vAlign w:val="center"/>
          </w:tcPr>
          <w:p w14:paraId="14656A9D" w14:textId="77777777" w:rsidR="00D303F9" w:rsidRPr="00F539E5" w:rsidRDefault="00D303F9" w:rsidP="00F6008B">
            <w:pPr>
              <w:rPr>
                <w:rFonts w:eastAsia="Times New Roman" w:cs="Times New Roman"/>
                <w:color w:val="000000"/>
              </w:rPr>
            </w:pPr>
          </w:p>
        </w:tc>
      </w:tr>
      <w:tr w:rsidR="00D303F9" w:rsidRPr="00483285" w14:paraId="44B0BB37" w14:textId="77777777" w:rsidTr="00F6008B">
        <w:trPr>
          <w:trHeight w:val="1042"/>
        </w:trPr>
        <w:tc>
          <w:tcPr>
            <w:tcW w:w="2126" w:type="dxa"/>
            <w:tcBorders>
              <w:top w:val="nil"/>
            </w:tcBorders>
            <w:vAlign w:val="center"/>
            <w:hideMark/>
          </w:tcPr>
          <w:p w14:paraId="52AD8968" w14:textId="77777777" w:rsidR="00D303F9" w:rsidRPr="00F539E5" w:rsidRDefault="00D303F9" w:rsidP="00F6008B">
            <w:pPr>
              <w:rPr>
                <w:rFonts w:eastAsia="Times New Roman" w:cs="Times New Roman"/>
                <w:b/>
                <w:bCs/>
                <w:color w:val="000000"/>
              </w:rPr>
            </w:pPr>
            <w:r w:rsidRPr="00F539E5">
              <w:rPr>
                <w:rFonts w:eastAsia="Times New Roman" w:cs="Times New Roman"/>
                <w:color w:val="000000"/>
              </w:rPr>
              <w:t>Presse écrite généraliste</w:t>
            </w:r>
          </w:p>
        </w:tc>
        <w:tc>
          <w:tcPr>
            <w:tcW w:w="2418" w:type="dxa"/>
            <w:tcBorders>
              <w:top w:val="nil"/>
            </w:tcBorders>
            <w:vAlign w:val="center"/>
            <w:hideMark/>
          </w:tcPr>
          <w:p w14:paraId="667D2E40" w14:textId="1DC1678D" w:rsidR="00D303F9" w:rsidRPr="00F539E5" w:rsidRDefault="00D303F9" w:rsidP="003345FB">
            <w:pPr>
              <w:rPr>
                <w:rFonts w:eastAsia="Times New Roman" w:cs="Times New Roman"/>
                <w:color w:val="000000"/>
              </w:rPr>
            </w:pPr>
            <w:r w:rsidRPr="00F539E5">
              <w:rPr>
                <w:rFonts w:eastAsia="Times New Roman" w:cs="Times New Roman"/>
                <w:color w:val="000000"/>
              </w:rPr>
              <w:t xml:space="preserve">La Presse, Le Devoir, L'Actualité, Journal Métro, Journal de Montréal, </w:t>
            </w:r>
            <w:proofErr w:type="spellStart"/>
            <w:r w:rsidR="003345FB">
              <w:rPr>
                <w:rFonts w:eastAsia="Times New Roman" w:cs="Times New Roman"/>
                <w:color w:val="000000"/>
              </w:rPr>
              <w:t>Chatelaine</w:t>
            </w:r>
            <w:proofErr w:type="spellEnd"/>
          </w:p>
        </w:tc>
        <w:tc>
          <w:tcPr>
            <w:tcW w:w="1786" w:type="dxa"/>
            <w:tcBorders>
              <w:top w:val="nil"/>
            </w:tcBorders>
            <w:vAlign w:val="center"/>
            <w:hideMark/>
          </w:tcPr>
          <w:p w14:paraId="35C3B353" w14:textId="77777777" w:rsidR="00D303F9" w:rsidRPr="00483285" w:rsidRDefault="00D303F9" w:rsidP="00F6008B">
            <w:pPr>
              <w:rPr>
                <w:rFonts w:eastAsia="Times New Roman" w:cs="Times New Roman"/>
                <w:color w:val="000000"/>
                <w:lang w:val="en-CA"/>
              </w:rPr>
            </w:pPr>
            <w:r w:rsidRPr="00483285">
              <w:rPr>
                <w:rFonts w:eastAsia="Times New Roman" w:cs="Times New Roman"/>
                <w:color w:val="000000"/>
                <w:lang w:val="en-CA"/>
              </w:rPr>
              <w:t>Toronto Star, Huffington Post</w:t>
            </w:r>
            <w:r w:rsidR="003345FB" w:rsidRPr="00483285">
              <w:rPr>
                <w:rFonts w:eastAsia="Times New Roman" w:cs="Times New Roman"/>
                <w:color w:val="000000"/>
                <w:lang w:val="en-CA"/>
              </w:rPr>
              <w:t xml:space="preserve">, Globe and </w:t>
            </w:r>
            <w:proofErr w:type="spellStart"/>
            <w:r w:rsidR="003345FB" w:rsidRPr="00483285">
              <w:rPr>
                <w:rFonts w:eastAsia="Times New Roman" w:cs="Times New Roman"/>
                <w:color w:val="000000"/>
                <w:lang w:val="en-CA"/>
              </w:rPr>
              <w:t>Mail,National</w:t>
            </w:r>
            <w:proofErr w:type="spellEnd"/>
            <w:r w:rsidR="003345FB" w:rsidRPr="00483285">
              <w:rPr>
                <w:rFonts w:eastAsia="Times New Roman" w:cs="Times New Roman"/>
                <w:color w:val="000000"/>
                <w:lang w:val="en-CA"/>
              </w:rPr>
              <w:t xml:space="preserve"> Post,</w:t>
            </w:r>
          </w:p>
          <w:p w14:paraId="6B64346D" w14:textId="0797D027" w:rsidR="003345FB" w:rsidRPr="00F539E5" w:rsidRDefault="003345FB" w:rsidP="00F6008B">
            <w:pPr>
              <w:rPr>
                <w:rFonts w:eastAsia="Times New Roman" w:cs="Times New Roman"/>
                <w:color w:val="000000"/>
              </w:rPr>
            </w:pPr>
            <w:r>
              <w:rPr>
                <w:rFonts w:eastAsia="Times New Roman" w:cs="Times New Roman"/>
                <w:color w:val="000000"/>
              </w:rPr>
              <w:t>Vancouver Sun</w:t>
            </w:r>
          </w:p>
        </w:tc>
        <w:tc>
          <w:tcPr>
            <w:tcW w:w="3220" w:type="dxa"/>
            <w:tcBorders>
              <w:top w:val="nil"/>
            </w:tcBorders>
            <w:vAlign w:val="center"/>
            <w:hideMark/>
          </w:tcPr>
          <w:p w14:paraId="7E3C1801" w14:textId="5FAA27B0" w:rsidR="00D303F9" w:rsidRPr="00483285" w:rsidRDefault="00D303F9" w:rsidP="00F6008B">
            <w:pPr>
              <w:rPr>
                <w:rFonts w:eastAsia="Times New Roman" w:cs="Times New Roman"/>
                <w:color w:val="000000"/>
                <w:lang w:val="en-CA"/>
              </w:rPr>
            </w:pPr>
            <w:r w:rsidRPr="00483285">
              <w:rPr>
                <w:rFonts w:eastAsia="Times New Roman" w:cs="Times New Roman"/>
                <w:color w:val="000000"/>
                <w:lang w:val="en-CA"/>
              </w:rPr>
              <w:t xml:space="preserve">Le Monde, </w:t>
            </w:r>
            <w:r w:rsidR="00186B7C" w:rsidRPr="00483285">
              <w:rPr>
                <w:rFonts w:eastAsia="Times New Roman" w:cs="Times New Roman"/>
                <w:color w:val="000000"/>
                <w:lang w:val="en-CA"/>
              </w:rPr>
              <w:t>Financial Times</w:t>
            </w:r>
            <w:r w:rsidRPr="00483285">
              <w:rPr>
                <w:rFonts w:eastAsia="Times New Roman" w:cs="Times New Roman"/>
                <w:color w:val="000000"/>
                <w:lang w:val="en-CA"/>
              </w:rPr>
              <w:t xml:space="preserve">, </w:t>
            </w:r>
            <w:r w:rsidR="00186B7C" w:rsidRPr="00483285">
              <w:rPr>
                <w:rFonts w:eastAsia="Times New Roman" w:cs="Times New Roman"/>
                <w:color w:val="000000"/>
                <w:lang w:val="en-CA"/>
              </w:rPr>
              <w:t xml:space="preserve">Wall Street </w:t>
            </w:r>
            <w:proofErr w:type="spellStart"/>
            <w:r w:rsidR="00186B7C" w:rsidRPr="00483285">
              <w:rPr>
                <w:rFonts w:eastAsia="Times New Roman" w:cs="Times New Roman"/>
                <w:color w:val="000000"/>
                <w:lang w:val="en-CA"/>
              </w:rPr>
              <w:t>Journal,L’Express</w:t>
            </w:r>
            <w:proofErr w:type="spellEnd"/>
            <w:r w:rsidR="00186B7C" w:rsidRPr="00483285">
              <w:rPr>
                <w:rFonts w:eastAsia="Times New Roman" w:cs="Times New Roman"/>
                <w:color w:val="000000"/>
                <w:lang w:val="en-CA"/>
              </w:rPr>
              <w:t>, Washington Post</w:t>
            </w:r>
            <w:r w:rsidRPr="00483285">
              <w:rPr>
                <w:rFonts w:eastAsia="Times New Roman" w:cs="Times New Roman"/>
                <w:color w:val="000000"/>
                <w:lang w:val="en-CA"/>
              </w:rPr>
              <w:t xml:space="preserve">, </w:t>
            </w:r>
            <w:proofErr w:type="spellStart"/>
            <w:r w:rsidRPr="00483285">
              <w:rPr>
                <w:rFonts w:eastAsia="Times New Roman" w:cs="Times New Roman"/>
                <w:color w:val="000000"/>
                <w:lang w:val="en-CA"/>
              </w:rPr>
              <w:t>Libération</w:t>
            </w:r>
            <w:proofErr w:type="spellEnd"/>
            <w:r w:rsidRPr="00483285">
              <w:rPr>
                <w:rFonts w:eastAsia="Times New Roman" w:cs="Times New Roman"/>
                <w:color w:val="000000"/>
                <w:lang w:val="en-CA"/>
              </w:rPr>
              <w:t xml:space="preserve">, </w:t>
            </w:r>
            <w:r w:rsidR="00186B7C" w:rsidRPr="00483285">
              <w:rPr>
                <w:rFonts w:eastAsia="Times New Roman" w:cs="Times New Roman"/>
                <w:color w:val="000000"/>
                <w:lang w:val="en-CA"/>
              </w:rPr>
              <w:t xml:space="preserve">El </w:t>
            </w:r>
            <w:proofErr w:type="spellStart"/>
            <w:r w:rsidR="00186B7C" w:rsidRPr="00483285">
              <w:rPr>
                <w:rFonts w:eastAsia="Times New Roman" w:cs="Times New Roman"/>
                <w:color w:val="000000"/>
                <w:lang w:val="en-CA"/>
              </w:rPr>
              <w:t>Watan</w:t>
            </w:r>
            <w:proofErr w:type="spellEnd"/>
            <w:r w:rsidR="00186B7C" w:rsidRPr="00483285">
              <w:rPr>
                <w:rFonts w:eastAsia="Times New Roman" w:cs="Times New Roman"/>
                <w:color w:val="000000"/>
                <w:lang w:val="en-CA"/>
              </w:rPr>
              <w:t xml:space="preserve">, The Moscow Times, Russia behind Headlines, Sputnik International, </w:t>
            </w:r>
            <w:proofErr w:type="spellStart"/>
            <w:r w:rsidR="00186B7C" w:rsidRPr="00483285">
              <w:rPr>
                <w:rFonts w:eastAsia="Times New Roman" w:cs="Times New Roman"/>
                <w:color w:val="000000"/>
                <w:lang w:val="en-CA"/>
              </w:rPr>
              <w:t>l’Orient</w:t>
            </w:r>
            <w:proofErr w:type="spellEnd"/>
            <w:r w:rsidR="00186B7C" w:rsidRPr="00483285">
              <w:rPr>
                <w:rFonts w:eastAsia="Times New Roman" w:cs="Times New Roman"/>
                <w:color w:val="000000"/>
                <w:lang w:val="en-CA"/>
              </w:rPr>
              <w:t xml:space="preserve"> le jour</w:t>
            </w:r>
          </w:p>
          <w:p w14:paraId="6271D978" w14:textId="77777777" w:rsidR="00D303F9" w:rsidRPr="00483285" w:rsidRDefault="00D303F9" w:rsidP="00F6008B">
            <w:pPr>
              <w:rPr>
                <w:rFonts w:eastAsia="Times New Roman" w:cs="Times New Roman"/>
                <w:color w:val="000000"/>
                <w:lang w:val="en-CA"/>
              </w:rPr>
            </w:pPr>
          </w:p>
        </w:tc>
      </w:tr>
      <w:tr w:rsidR="00D303F9" w:rsidRPr="00F539E5" w14:paraId="2D3DCF4A" w14:textId="77777777" w:rsidTr="00F6008B">
        <w:trPr>
          <w:trHeight w:val="916"/>
        </w:trPr>
        <w:tc>
          <w:tcPr>
            <w:tcW w:w="2126" w:type="dxa"/>
            <w:vAlign w:val="center"/>
            <w:hideMark/>
          </w:tcPr>
          <w:p w14:paraId="4B0B1907" w14:textId="2FC34142" w:rsidR="00D303F9" w:rsidRPr="00F539E5" w:rsidRDefault="00D303F9" w:rsidP="00F6008B">
            <w:pPr>
              <w:rPr>
                <w:rFonts w:eastAsia="Times New Roman" w:cs="Times New Roman"/>
                <w:b/>
                <w:bCs/>
                <w:color w:val="000000"/>
              </w:rPr>
            </w:pPr>
            <w:r w:rsidRPr="00F539E5">
              <w:rPr>
                <w:rFonts w:eastAsia="Times New Roman" w:cs="Times New Roman"/>
                <w:color w:val="000000"/>
              </w:rPr>
              <w:t>Presse écrite spécialisée et institutionnelle</w:t>
            </w:r>
          </w:p>
        </w:tc>
        <w:tc>
          <w:tcPr>
            <w:tcW w:w="2418" w:type="dxa"/>
            <w:vAlign w:val="center"/>
            <w:hideMark/>
          </w:tcPr>
          <w:p w14:paraId="03CBF88A" w14:textId="77777777" w:rsidR="00D303F9" w:rsidRPr="00F539E5" w:rsidRDefault="00D303F9" w:rsidP="00F6008B">
            <w:pPr>
              <w:rPr>
                <w:rFonts w:eastAsia="Times New Roman" w:cs="Times New Roman"/>
                <w:color w:val="000000"/>
              </w:rPr>
            </w:pPr>
          </w:p>
          <w:p w14:paraId="430A7530" w14:textId="156530DF" w:rsidR="00D303F9" w:rsidRPr="00F539E5" w:rsidRDefault="00D303F9" w:rsidP="00F6008B">
            <w:pPr>
              <w:rPr>
                <w:rFonts w:eastAsia="Times New Roman" w:cs="Times New Roman"/>
                <w:color w:val="000000"/>
              </w:rPr>
            </w:pPr>
            <w:r w:rsidRPr="00F539E5">
              <w:rPr>
                <w:rFonts w:eastAsia="Times New Roman" w:cs="Times New Roman"/>
                <w:color w:val="000000"/>
              </w:rPr>
              <w:t>UdeM Nouvelles, Forum, UdeM Campus, infolettre du Canal Savoir</w:t>
            </w:r>
          </w:p>
          <w:p w14:paraId="033E8EFA" w14:textId="77777777" w:rsidR="00D303F9" w:rsidRPr="00F539E5" w:rsidRDefault="00D303F9" w:rsidP="00F6008B">
            <w:pPr>
              <w:rPr>
                <w:rFonts w:eastAsia="Times New Roman" w:cs="Times New Roman"/>
                <w:color w:val="000000"/>
              </w:rPr>
            </w:pPr>
          </w:p>
        </w:tc>
        <w:tc>
          <w:tcPr>
            <w:tcW w:w="1786" w:type="dxa"/>
            <w:vAlign w:val="center"/>
            <w:hideMark/>
          </w:tcPr>
          <w:p w14:paraId="11FFCCD0" w14:textId="16AA9F8A" w:rsidR="00D303F9" w:rsidRPr="00F539E5" w:rsidRDefault="00D303F9" w:rsidP="00F6008B">
            <w:pPr>
              <w:rPr>
                <w:rFonts w:eastAsia="Times New Roman" w:cs="Times New Roman"/>
                <w:color w:val="000000"/>
              </w:rPr>
            </w:pPr>
            <w:r w:rsidRPr="00F539E5">
              <w:rPr>
                <w:rFonts w:eastAsia="Times New Roman" w:cs="Times New Roman"/>
                <w:color w:val="000000"/>
              </w:rPr>
              <w:t> </w:t>
            </w:r>
            <w:proofErr w:type="spellStart"/>
            <w:r w:rsidR="00186B7C">
              <w:rPr>
                <w:rFonts w:eastAsia="Times New Roman" w:cs="Times New Roman"/>
                <w:color w:val="000000"/>
              </w:rPr>
              <w:t>Embassy</w:t>
            </w:r>
            <w:proofErr w:type="spellEnd"/>
            <w:r w:rsidR="00186B7C">
              <w:rPr>
                <w:rFonts w:eastAsia="Times New Roman" w:cs="Times New Roman"/>
                <w:color w:val="000000"/>
              </w:rPr>
              <w:t>, Hill Times</w:t>
            </w:r>
          </w:p>
        </w:tc>
        <w:tc>
          <w:tcPr>
            <w:tcW w:w="3220" w:type="dxa"/>
            <w:vAlign w:val="center"/>
            <w:hideMark/>
          </w:tcPr>
          <w:p w14:paraId="1D60FFB0" w14:textId="1FAE532F" w:rsidR="00D303F9" w:rsidRPr="00F539E5" w:rsidRDefault="00D303F9" w:rsidP="00186B7C">
            <w:pPr>
              <w:rPr>
                <w:rFonts w:eastAsia="Times New Roman" w:cs="Times New Roman"/>
                <w:color w:val="000000"/>
              </w:rPr>
            </w:pPr>
            <w:r w:rsidRPr="00F539E5">
              <w:rPr>
                <w:rFonts w:eastAsia="Times New Roman" w:cs="Times New Roman"/>
                <w:color w:val="000000"/>
              </w:rPr>
              <w:t xml:space="preserve">AFP, </w:t>
            </w:r>
            <w:proofErr w:type="spellStart"/>
            <w:r w:rsidR="00186B7C">
              <w:rPr>
                <w:rFonts w:eastAsia="Times New Roman" w:cs="Times New Roman"/>
                <w:color w:val="000000"/>
              </w:rPr>
              <w:t>Registan</w:t>
            </w:r>
            <w:proofErr w:type="spellEnd"/>
            <w:r w:rsidR="00186B7C">
              <w:rPr>
                <w:rFonts w:eastAsia="Times New Roman" w:cs="Times New Roman"/>
                <w:color w:val="000000"/>
              </w:rPr>
              <w:t xml:space="preserve">, </w:t>
            </w:r>
            <w:proofErr w:type="spellStart"/>
            <w:r w:rsidR="00186B7C">
              <w:rPr>
                <w:rFonts w:eastAsia="Times New Roman" w:cs="Times New Roman"/>
                <w:color w:val="000000"/>
              </w:rPr>
              <w:t>Science&amp;Diplomcy</w:t>
            </w:r>
            <w:proofErr w:type="spellEnd"/>
            <w:r w:rsidR="00186B7C">
              <w:rPr>
                <w:rFonts w:eastAsia="Times New Roman" w:cs="Times New Roman"/>
                <w:color w:val="000000"/>
              </w:rPr>
              <w:t>, Agence Science-Presse</w:t>
            </w:r>
          </w:p>
        </w:tc>
      </w:tr>
      <w:tr w:rsidR="00D303F9" w:rsidRPr="00A7684A" w14:paraId="5C1E7213" w14:textId="77777777" w:rsidTr="00F6008B">
        <w:trPr>
          <w:trHeight w:val="304"/>
        </w:trPr>
        <w:tc>
          <w:tcPr>
            <w:tcW w:w="2126" w:type="dxa"/>
            <w:vAlign w:val="center"/>
            <w:hideMark/>
          </w:tcPr>
          <w:p w14:paraId="3746273F" w14:textId="77777777" w:rsidR="00D303F9" w:rsidRPr="00F539E5" w:rsidRDefault="00D303F9" w:rsidP="00F6008B">
            <w:pPr>
              <w:rPr>
                <w:rFonts w:eastAsia="Times New Roman" w:cs="Times New Roman"/>
                <w:b/>
                <w:bCs/>
                <w:color w:val="000000"/>
              </w:rPr>
            </w:pPr>
            <w:r w:rsidRPr="00F539E5">
              <w:rPr>
                <w:rFonts w:eastAsia="Times New Roman" w:cs="Times New Roman"/>
                <w:color w:val="000000"/>
              </w:rPr>
              <w:t>Blogs et sites internet</w:t>
            </w:r>
          </w:p>
        </w:tc>
        <w:tc>
          <w:tcPr>
            <w:tcW w:w="2418" w:type="dxa"/>
            <w:vAlign w:val="center"/>
            <w:hideMark/>
          </w:tcPr>
          <w:p w14:paraId="195C5BCE" w14:textId="77777777" w:rsidR="00D303F9" w:rsidRPr="00F539E5" w:rsidRDefault="00D303F9" w:rsidP="00F6008B">
            <w:pPr>
              <w:rPr>
                <w:rFonts w:eastAsia="Times New Roman" w:cs="Times New Roman"/>
                <w:color w:val="000000"/>
              </w:rPr>
            </w:pPr>
            <w:r w:rsidRPr="00F539E5">
              <w:rPr>
                <w:rFonts w:eastAsia="Times New Roman" w:cs="Times New Roman"/>
                <w:color w:val="000000"/>
              </w:rPr>
              <w:t>La Presse +</w:t>
            </w:r>
          </w:p>
        </w:tc>
        <w:tc>
          <w:tcPr>
            <w:tcW w:w="1786" w:type="dxa"/>
            <w:vAlign w:val="center"/>
            <w:hideMark/>
          </w:tcPr>
          <w:p w14:paraId="073A9EFE" w14:textId="5D40BF49" w:rsidR="00D303F9" w:rsidRPr="00F539E5" w:rsidRDefault="00D303F9" w:rsidP="00F6008B">
            <w:pPr>
              <w:rPr>
                <w:rFonts w:eastAsia="Times New Roman" w:cs="Times New Roman"/>
                <w:color w:val="000000"/>
              </w:rPr>
            </w:pPr>
            <w:r w:rsidRPr="00F539E5">
              <w:rPr>
                <w:rFonts w:eastAsia="Times New Roman" w:cs="Times New Roman"/>
                <w:color w:val="000000"/>
              </w:rPr>
              <w:t>Fondation Trudeau</w:t>
            </w:r>
          </w:p>
        </w:tc>
        <w:tc>
          <w:tcPr>
            <w:tcW w:w="3220" w:type="dxa"/>
            <w:vAlign w:val="center"/>
            <w:hideMark/>
          </w:tcPr>
          <w:p w14:paraId="6EF22FBE" w14:textId="27A0EC3C" w:rsidR="00D303F9" w:rsidRPr="00F539E5" w:rsidRDefault="00D303F9" w:rsidP="00186B7C">
            <w:pPr>
              <w:rPr>
                <w:rFonts w:eastAsia="Times New Roman" w:cs="Times New Roman"/>
                <w:color w:val="000000"/>
                <w:lang w:val="en-CA"/>
              </w:rPr>
            </w:pPr>
            <w:r w:rsidRPr="00F539E5">
              <w:rPr>
                <w:rFonts w:eastAsia="Times New Roman" w:cs="Times New Roman"/>
                <w:color w:val="000000"/>
                <w:lang w:val="en-CA"/>
              </w:rPr>
              <w:t>Americas Qua</w:t>
            </w:r>
            <w:r w:rsidR="001E2868">
              <w:rPr>
                <w:rFonts w:eastAsia="Times New Roman" w:cs="Times New Roman"/>
                <w:color w:val="000000"/>
                <w:lang w:val="en-CA"/>
              </w:rPr>
              <w:t>r</w:t>
            </w:r>
            <w:r w:rsidRPr="00F539E5">
              <w:rPr>
                <w:rFonts w:eastAsia="Times New Roman" w:cs="Times New Roman"/>
                <w:color w:val="000000"/>
                <w:lang w:val="en-CA"/>
              </w:rPr>
              <w:t>terly, YouTube</w:t>
            </w:r>
          </w:p>
        </w:tc>
      </w:tr>
      <w:tr w:rsidR="00D303F9" w:rsidRPr="00F539E5" w14:paraId="5E825675" w14:textId="77777777" w:rsidTr="00F6008B">
        <w:trPr>
          <w:trHeight w:val="304"/>
        </w:trPr>
        <w:tc>
          <w:tcPr>
            <w:tcW w:w="2126" w:type="dxa"/>
            <w:vAlign w:val="center"/>
            <w:hideMark/>
          </w:tcPr>
          <w:p w14:paraId="170B2C08" w14:textId="77777777" w:rsidR="00D303F9" w:rsidRPr="00F539E5" w:rsidRDefault="00D303F9" w:rsidP="00F6008B">
            <w:pPr>
              <w:rPr>
                <w:rFonts w:eastAsia="Times New Roman" w:cs="Times New Roman"/>
                <w:b/>
                <w:bCs/>
                <w:color w:val="000000"/>
              </w:rPr>
            </w:pPr>
            <w:r w:rsidRPr="00F539E5">
              <w:rPr>
                <w:rFonts w:eastAsia="Times New Roman" w:cs="Times New Roman"/>
                <w:color w:val="000000"/>
              </w:rPr>
              <w:t>Télévision</w:t>
            </w:r>
          </w:p>
        </w:tc>
        <w:tc>
          <w:tcPr>
            <w:tcW w:w="2418" w:type="dxa"/>
            <w:vAlign w:val="center"/>
            <w:hideMark/>
          </w:tcPr>
          <w:p w14:paraId="22A4DC51" w14:textId="77777777" w:rsidR="00D303F9" w:rsidRPr="00F539E5" w:rsidRDefault="00D303F9" w:rsidP="00F6008B">
            <w:pPr>
              <w:rPr>
                <w:rFonts w:eastAsia="Times New Roman" w:cs="Times New Roman"/>
                <w:color w:val="000000"/>
              </w:rPr>
            </w:pPr>
          </w:p>
          <w:p w14:paraId="29A4C5C0" w14:textId="1A832A22" w:rsidR="00D303F9" w:rsidRPr="00F539E5" w:rsidRDefault="00D303F9" w:rsidP="00F6008B">
            <w:pPr>
              <w:rPr>
                <w:rFonts w:eastAsia="Times New Roman" w:cs="Times New Roman"/>
                <w:color w:val="000000"/>
              </w:rPr>
            </w:pPr>
            <w:r w:rsidRPr="00F539E5">
              <w:rPr>
                <w:rFonts w:eastAsia="Times New Roman" w:cs="Times New Roman"/>
                <w:color w:val="000000"/>
              </w:rPr>
              <w:t>Canal Savoir / Radio-Canada / RDI / LCN / TVA / CTV-Montreal</w:t>
            </w:r>
            <w:r w:rsidR="00186B7C">
              <w:rPr>
                <w:rFonts w:eastAsia="Times New Roman" w:cs="Times New Roman"/>
                <w:color w:val="000000"/>
              </w:rPr>
              <w:t>, CBC</w:t>
            </w:r>
          </w:p>
          <w:p w14:paraId="314324AD" w14:textId="77777777" w:rsidR="00D303F9" w:rsidRPr="00F539E5" w:rsidRDefault="00D303F9" w:rsidP="00F6008B">
            <w:pPr>
              <w:rPr>
                <w:rFonts w:eastAsia="Times New Roman" w:cs="Times New Roman"/>
                <w:color w:val="000000"/>
              </w:rPr>
            </w:pPr>
          </w:p>
        </w:tc>
        <w:tc>
          <w:tcPr>
            <w:tcW w:w="1786" w:type="dxa"/>
            <w:vAlign w:val="center"/>
            <w:hideMark/>
          </w:tcPr>
          <w:p w14:paraId="77E2D716" w14:textId="77777777" w:rsidR="00D303F9" w:rsidRPr="00F539E5" w:rsidRDefault="00D303F9" w:rsidP="00F6008B">
            <w:pPr>
              <w:rPr>
                <w:rFonts w:eastAsia="Times New Roman" w:cs="Times New Roman"/>
                <w:color w:val="000000"/>
              </w:rPr>
            </w:pPr>
            <w:r w:rsidRPr="00F539E5">
              <w:rPr>
                <w:rFonts w:eastAsia="Times New Roman" w:cs="Times New Roman"/>
                <w:color w:val="000000"/>
              </w:rPr>
              <w:t>CTV News</w:t>
            </w:r>
          </w:p>
        </w:tc>
        <w:tc>
          <w:tcPr>
            <w:tcW w:w="3220" w:type="dxa"/>
            <w:vAlign w:val="center"/>
            <w:hideMark/>
          </w:tcPr>
          <w:p w14:paraId="546269D1" w14:textId="77777777" w:rsidR="00D303F9" w:rsidRPr="00F539E5" w:rsidRDefault="00D303F9" w:rsidP="00F6008B">
            <w:pPr>
              <w:rPr>
                <w:rFonts w:eastAsia="Times New Roman" w:cs="Times New Roman"/>
                <w:color w:val="000000"/>
              </w:rPr>
            </w:pPr>
            <w:r w:rsidRPr="00F539E5">
              <w:rPr>
                <w:rFonts w:eastAsia="Times New Roman" w:cs="Times New Roman"/>
                <w:color w:val="000000"/>
              </w:rPr>
              <w:t>ARTE</w:t>
            </w:r>
          </w:p>
        </w:tc>
      </w:tr>
      <w:tr w:rsidR="00D303F9" w:rsidRPr="00F539E5" w14:paraId="60349FA3" w14:textId="77777777" w:rsidTr="00F6008B">
        <w:trPr>
          <w:trHeight w:val="456"/>
        </w:trPr>
        <w:tc>
          <w:tcPr>
            <w:tcW w:w="2126" w:type="dxa"/>
            <w:vAlign w:val="center"/>
            <w:hideMark/>
          </w:tcPr>
          <w:p w14:paraId="493BB70C" w14:textId="77777777" w:rsidR="00D303F9" w:rsidRPr="00F539E5" w:rsidRDefault="00D303F9" w:rsidP="00F6008B">
            <w:pPr>
              <w:rPr>
                <w:rFonts w:eastAsia="Times New Roman" w:cs="Times New Roman"/>
                <w:b/>
                <w:bCs/>
                <w:color w:val="000000"/>
              </w:rPr>
            </w:pPr>
            <w:r w:rsidRPr="00F539E5">
              <w:rPr>
                <w:rFonts w:eastAsia="Times New Roman" w:cs="Times New Roman"/>
                <w:color w:val="000000"/>
              </w:rPr>
              <w:t>Radio</w:t>
            </w:r>
          </w:p>
        </w:tc>
        <w:tc>
          <w:tcPr>
            <w:tcW w:w="2418" w:type="dxa"/>
            <w:vAlign w:val="center"/>
            <w:hideMark/>
          </w:tcPr>
          <w:p w14:paraId="12EA1A75" w14:textId="77777777" w:rsidR="00D303F9" w:rsidRPr="00F539E5" w:rsidRDefault="00D303F9" w:rsidP="00F6008B">
            <w:pPr>
              <w:rPr>
                <w:rFonts w:eastAsia="Times New Roman" w:cs="Times New Roman"/>
                <w:color w:val="000000"/>
              </w:rPr>
            </w:pPr>
          </w:p>
          <w:p w14:paraId="09770AC3" w14:textId="6BD3E982" w:rsidR="00D303F9" w:rsidRPr="00F539E5" w:rsidRDefault="00D303F9" w:rsidP="00186B7C">
            <w:pPr>
              <w:rPr>
                <w:rFonts w:eastAsia="Times New Roman" w:cs="Times New Roman"/>
                <w:color w:val="000000"/>
              </w:rPr>
            </w:pPr>
            <w:r w:rsidRPr="00F539E5">
              <w:rPr>
                <w:rFonts w:eastAsia="Times New Roman" w:cs="Times New Roman"/>
                <w:color w:val="000000"/>
              </w:rPr>
              <w:t>Radio-Canada</w:t>
            </w:r>
          </w:p>
        </w:tc>
        <w:tc>
          <w:tcPr>
            <w:tcW w:w="1786" w:type="dxa"/>
            <w:vAlign w:val="center"/>
            <w:hideMark/>
          </w:tcPr>
          <w:p w14:paraId="36E48759" w14:textId="77777777" w:rsidR="00D303F9" w:rsidRPr="00F539E5" w:rsidRDefault="00D303F9" w:rsidP="00F6008B">
            <w:pPr>
              <w:rPr>
                <w:rFonts w:eastAsia="Times New Roman" w:cs="Times New Roman"/>
                <w:color w:val="000000"/>
                <w:lang w:val="en-CA"/>
              </w:rPr>
            </w:pPr>
            <w:r w:rsidRPr="00F539E5">
              <w:rPr>
                <w:rFonts w:eastAsia="Times New Roman" w:cs="Times New Roman"/>
                <w:color w:val="000000"/>
                <w:lang w:val="en-CA"/>
              </w:rPr>
              <w:t>Radio-Canada Manitoba/N-B/C-B/Ontario</w:t>
            </w:r>
          </w:p>
        </w:tc>
        <w:tc>
          <w:tcPr>
            <w:tcW w:w="3220" w:type="dxa"/>
            <w:vAlign w:val="center"/>
            <w:hideMark/>
          </w:tcPr>
          <w:p w14:paraId="7829371F" w14:textId="76A66725" w:rsidR="00D303F9" w:rsidRPr="00F539E5" w:rsidRDefault="00D303F9" w:rsidP="00F6008B">
            <w:pPr>
              <w:rPr>
                <w:rFonts w:eastAsia="Times New Roman" w:cs="Times New Roman"/>
                <w:color w:val="000000"/>
              </w:rPr>
            </w:pPr>
            <w:r w:rsidRPr="00F539E5">
              <w:rPr>
                <w:rFonts w:eastAsia="Times New Roman" w:cs="Times New Roman"/>
                <w:color w:val="000000"/>
              </w:rPr>
              <w:t>RFI</w:t>
            </w:r>
            <w:r w:rsidR="00186B7C">
              <w:rPr>
                <w:rFonts w:eastAsia="Times New Roman" w:cs="Times New Roman"/>
                <w:color w:val="000000"/>
              </w:rPr>
              <w:t xml:space="preserve">, France Culture, Al </w:t>
            </w:r>
            <w:proofErr w:type="spellStart"/>
            <w:r w:rsidR="00186B7C">
              <w:rPr>
                <w:rFonts w:eastAsia="Times New Roman" w:cs="Times New Roman"/>
                <w:color w:val="000000"/>
              </w:rPr>
              <w:t>Arabiya</w:t>
            </w:r>
            <w:proofErr w:type="spellEnd"/>
            <w:r w:rsidR="00186B7C">
              <w:rPr>
                <w:rFonts w:eastAsia="Times New Roman" w:cs="Times New Roman"/>
                <w:color w:val="000000"/>
              </w:rPr>
              <w:t>, BBC Afrique</w:t>
            </w:r>
          </w:p>
        </w:tc>
      </w:tr>
    </w:tbl>
    <w:p w14:paraId="5DDD2853" w14:textId="77777777" w:rsidR="00D303F9" w:rsidRPr="00F539E5" w:rsidRDefault="00D303F9" w:rsidP="00D303F9"/>
    <w:p w14:paraId="0860D884" w14:textId="77777777" w:rsidR="00D303F9" w:rsidRPr="00F539E5" w:rsidRDefault="00D303F9" w:rsidP="00D303F9"/>
    <w:p w14:paraId="065EE3B3" w14:textId="77777777" w:rsidR="00D303F9" w:rsidRPr="00F539E5" w:rsidRDefault="00D303F9" w:rsidP="00D303F9"/>
    <w:p w14:paraId="3F690734" w14:textId="527A48E0" w:rsidR="00D303F9" w:rsidRDefault="00186B7C" w:rsidP="004A687D">
      <w:pPr>
        <w:rPr>
          <w:b/>
          <w:color w:val="00487D"/>
        </w:rPr>
      </w:pPr>
      <w:r>
        <w:br w:type="page"/>
      </w:r>
    </w:p>
    <w:p w14:paraId="406FD00C" w14:textId="77777777" w:rsidR="00EC7531" w:rsidRDefault="00EC7531" w:rsidP="00D303F9">
      <w:pPr>
        <w:jc w:val="center"/>
        <w:rPr>
          <w:b/>
          <w:color w:val="00487D"/>
        </w:rPr>
      </w:pPr>
    </w:p>
    <w:p w14:paraId="3B46222B" w14:textId="77777777" w:rsidR="00D303F9" w:rsidRPr="00F539E5" w:rsidRDefault="00D303F9" w:rsidP="00D303F9">
      <w:pPr>
        <w:jc w:val="center"/>
        <w:rPr>
          <w:b/>
          <w:color w:val="00487D"/>
        </w:rPr>
      </w:pPr>
      <w:r w:rsidRPr="00F539E5">
        <w:rPr>
          <w:b/>
          <w:color w:val="00487D"/>
        </w:rPr>
        <w:t>Pour nous joindre</w:t>
      </w:r>
    </w:p>
    <w:p w14:paraId="0C99AD7B" w14:textId="77777777" w:rsidR="00D303F9" w:rsidRDefault="00D303F9" w:rsidP="00D303F9">
      <w:pPr>
        <w:spacing w:after="120"/>
        <w:rPr>
          <w:rStyle w:val="Lienhypertext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245"/>
      </w:tblGrid>
      <w:tr w:rsidR="00D303F9" w14:paraId="2068B3E6" w14:textId="77777777" w:rsidTr="00F6008B">
        <w:tc>
          <w:tcPr>
            <w:tcW w:w="5470" w:type="dxa"/>
          </w:tcPr>
          <w:p w14:paraId="7EA103B3" w14:textId="77777777" w:rsidR="00D303F9" w:rsidRPr="00F539E5" w:rsidRDefault="00D303F9" w:rsidP="00F6008B">
            <w:pPr>
              <w:spacing w:after="120"/>
            </w:pPr>
            <w:r w:rsidRPr="00F539E5">
              <w:t>ADRESSE</w:t>
            </w:r>
          </w:p>
          <w:p w14:paraId="0217D6D4" w14:textId="77777777" w:rsidR="00D303F9" w:rsidRPr="00F539E5" w:rsidRDefault="00D303F9" w:rsidP="00F6008B">
            <w:pPr>
              <w:spacing w:after="120"/>
            </w:pPr>
            <w:r w:rsidRPr="00F539E5">
              <w:t>3744, rue Jean-Brillant</w:t>
            </w:r>
          </w:p>
          <w:p w14:paraId="67992C99" w14:textId="77777777" w:rsidR="00D303F9" w:rsidRPr="00F539E5" w:rsidRDefault="00D303F9" w:rsidP="00F6008B">
            <w:pPr>
              <w:spacing w:after="120"/>
            </w:pPr>
            <w:r w:rsidRPr="00F539E5">
              <w:t>Bureau 581</w:t>
            </w:r>
          </w:p>
          <w:p w14:paraId="7A50E284" w14:textId="77777777" w:rsidR="00D303F9" w:rsidRPr="00F539E5" w:rsidRDefault="00D303F9" w:rsidP="00F6008B">
            <w:pPr>
              <w:spacing w:after="120"/>
            </w:pPr>
            <w:r w:rsidRPr="00F539E5">
              <w:t>Montréal QC  H3T 3J7</w:t>
            </w:r>
          </w:p>
          <w:p w14:paraId="0C0ED93E" w14:textId="77777777" w:rsidR="00D303F9" w:rsidRPr="00F539E5" w:rsidRDefault="00D303F9" w:rsidP="00F6008B">
            <w:pPr>
              <w:spacing w:after="120"/>
            </w:pPr>
            <w:r w:rsidRPr="00F539E5">
              <w:t>Canada</w:t>
            </w:r>
          </w:p>
          <w:p w14:paraId="30B0D998" w14:textId="77777777" w:rsidR="00D303F9" w:rsidRDefault="00D303F9" w:rsidP="00F6008B">
            <w:pPr>
              <w:spacing w:after="120"/>
            </w:pPr>
          </w:p>
          <w:p w14:paraId="0B986D4B" w14:textId="77777777" w:rsidR="00D303F9" w:rsidRDefault="00D303F9" w:rsidP="00F6008B">
            <w:pPr>
              <w:spacing w:after="120"/>
            </w:pPr>
          </w:p>
          <w:p w14:paraId="71A59E40" w14:textId="77777777" w:rsidR="00D303F9" w:rsidRPr="00F539E5" w:rsidRDefault="00D303F9" w:rsidP="00F6008B">
            <w:pPr>
              <w:spacing w:after="120"/>
            </w:pPr>
            <w:r w:rsidRPr="00F539E5">
              <w:t>TÉLÉPHONE</w:t>
            </w:r>
          </w:p>
          <w:p w14:paraId="79B4EC71" w14:textId="77777777" w:rsidR="00D303F9" w:rsidRPr="00F539E5" w:rsidRDefault="00D303F9" w:rsidP="00F6008B">
            <w:pPr>
              <w:spacing w:after="120"/>
            </w:pPr>
            <w:r w:rsidRPr="00F539E5">
              <w:t>+ 1-514-343-7536</w:t>
            </w:r>
          </w:p>
          <w:p w14:paraId="2CDF9A2C" w14:textId="77777777" w:rsidR="00D303F9" w:rsidRDefault="00D303F9" w:rsidP="00F6008B">
            <w:pPr>
              <w:spacing w:after="120"/>
            </w:pPr>
          </w:p>
          <w:p w14:paraId="192A4BD9" w14:textId="77777777" w:rsidR="00D303F9" w:rsidRDefault="00D303F9" w:rsidP="00F6008B">
            <w:pPr>
              <w:spacing w:after="120"/>
            </w:pPr>
          </w:p>
          <w:p w14:paraId="06AC90B6" w14:textId="77777777" w:rsidR="00D303F9" w:rsidRDefault="00D303F9" w:rsidP="00F6008B">
            <w:pPr>
              <w:spacing w:after="120"/>
            </w:pPr>
          </w:p>
        </w:tc>
        <w:tc>
          <w:tcPr>
            <w:tcW w:w="5470" w:type="dxa"/>
          </w:tcPr>
          <w:p w14:paraId="25385788" w14:textId="77777777" w:rsidR="00D303F9" w:rsidRPr="00F539E5" w:rsidRDefault="00D303F9" w:rsidP="00F6008B">
            <w:pPr>
              <w:spacing w:after="120"/>
            </w:pPr>
            <w:r w:rsidRPr="00F539E5">
              <w:t>ADRESSE POSTALE</w:t>
            </w:r>
          </w:p>
          <w:p w14:paraId="7D82C5D5" w14:textId="77777777" w:rsidR="00D303F9" w:rsidRPr="00F539E5" w:rsidRDefault="00D303F9" w:rsidP="00F6008B">
            <w:pPr>
              <w:spacing w:after="120"/>
            </w:pPr>
            <w:r w:rsidRPr="00F539E5">
              <w:t>Université de Montréal</w:t>
            </w:r>
          </w:p>
          <w:p w14:paraId="1CEC7CE2" w14:textId="77777777" w:rsidR="00D303F9" w:rsidRPr="00F539E5" w:rsidRDefault="00D303F9" w:rsidP="00F6008B">
            <w:pPr>
              <w:spacing w:after="120"/>
            </w:pPr>
            <w:r w:rsidRPr="00F539E5">
              <w:t xml:space="preserve">CÉRIUM, Pavillon 3744, </w:t>
            </w:r>
            <w:r>
              <w:t xml:space="preserve">rue </w:t>
            </w:r>
            <w:r w:rsidRPr="00F539E5">
              <w:t>Jean-Brillant</w:t>
            </w:r>
          </w:p>
          <w:p w14:paraId="377FB15C" w14:textId="77777777" w:rsidR="00D303F9" w:rsidRPr="00F539E5" w:rsidRDefault="00D303F9" w:rsidP="00F6008B">
            <w:pPr>
              <w:spacing w:after="120"/>
            </w:pPr>
            <w:r w:rsidRPr="00F539E5">
              <w:t>CP 6128, Succursale Centre-ville</w:t>
            </w:r>
          </w:p>
          <w:p w14:paraId="38C3E64C" w14:textId="77777777" w:rsidR="00D303F9" w:rsidRPr="00F539E5" w:rsidRDefault="00D303F9" w:rsidP="00F6008B">
            <w:pPr>
              <w:spacing w:after="120"/>
            </w:pPr>
            <w:r w:rsidRPr="00F539E5">
              <w:t>Montréal  QC  H3C 3J7</w:t>
            </w:r>
          </w:p>
          <w:p w14:paraId="4E66BD36" w14:textId="77777777" w:rsidR="00D303F9" w:rsidRDefault="00D303F9" w:rsidP="00F6008B">
            <w:pPr>
              <w:spacing w:after="120"/>
            </w:pPr>
          </w:p>
          <w:p w14:paraId="5675A505" w14:textId="05E7CA66" w:rsidR="00D303F9" w:rsidRDefault="001176A2" w:rsidP="00F6008B">
            <w:pPr>
              <w:spacing w:after="120"/>
              <w:rPr>
                <w:rStyle w:val="Lienhypertexte"/>
              </w:rPr>
            </w:pPr>
            <w:hyperlink r:id="rId18" w:history="1">
              <w:r w:rsidR="003508FA">
                <w:rPr>
                  <w:rStyle w:val="Lienhypertexte"/>
                </w:rPr>
                <w:t>http://www.cerium.umontreal.ca</w:t>
              </w:r>
            </w:hyperlink>
          </w:p>
          <w:p w14:paraId="7A4899F0" w14:textId="77777777" w:rsidR="00D303F9" w:rsidRDefault="00D303F9" w:rsidP="00F6008B">
            <w:pPr>
              <w:spacing w:after="120"/>
            </w:pPr>
          </w:p>
          <w:p w14:paraId="4E468652" w14:textId="77777777" w:rsidR="00D303F9" w:rsidRPr="00F539E5" w:rsidRDefault="00D303F9" w:rsidP="00F6008B">
            <w:pPr>
              <w:spacing w:after="120"/>
            </w:pPr>
            <w:r w:rsidRPr="00F539E5">
              <w:t>COURRIEL</w:t>
            </w:r>
          </w:p>
          <w:p w14:paraId="029BD4A1" w14:textId="77777777" w:rsidR="00D303F9" w:rsidRPr="00F539E5" w:rsidRDefault="001176A2" w:rsidP="00F6008B">
            <w:pPr>
              <w:spacing w:after="120"/>
            </w:pPr>
            <w:hyperlink r:id="rId19" w:history="1">
              <w:r w:rsidR="00D303F9" w:rsidRPr="00F539E5">
                <w:rPr>
                  <w:rStyle w:val="Lienhypertexte"/>
                </w:rPr>
                <w:t>cerium@umontreal.ca</w:t>
              </w:r>
            </w:hyperlink>
          </w:p>
          <w:p w14:paraId="2F38D9FD" w14:textId="77777777" w:rsidR="00D303F9" w:rsidRPr="00F539E5" w:rsidRDefault="00D303F9" w:rsidP="00F6008B">
            <w:pPr>
              <w:spacing w:after="120"/>
            </w:pPr>
          </w:p>
          <w:p w14:paraId="330F8CEA" w14:textId="77777777" w:rsidR="00D303F9" w:rsidRPr="00F539E5" w:rsidRDefault="00D303F9" w:rsidP="00F6008B">
            <w:pPr>
              <w:spacing w:after="120"/>
            </w:pPr>
            <w:r w:rsidRPr="00F539E5">
              <w:t>TWITTER</w:t>
            </w:r>
          </w:p>
          <w:p w14:paraId="769DBADB" w14:textId="77777777" w:rsidR="00D303F9" w:rsidRPr="00F539E5" w:rsidRDefault="00D303F9" w:rsidP="00F6008B">
            <w:pPr>
              <w:spacing w:after="120"/>
            </w:pPr>
            <w:r w:rsidRPr="00F539E5">
              <w:t>@</w:t>
            </w:r>
            <w:proofErr w:type="spellStart"/>
            <w:r w:rsidRPr="00F539E5">
              <w:t>CERIUdeM</w:t>
            </w:r>
            <w:proofErr w:type="spellEnd"/>
          </w:p>
          <w:p w14:paraId="1C165933" w14:textId="77777777" w:rsidR="00D303F9" w:rsidRDefault="00D303F9" w:rsidP="00F6008B">
            <w:pPr>
              <w:spacing w:after="120"/>
            </w:pPr>
          </w:p>
        </w:tc>
      </w:tr>
    </w:tbl>
    <w:p w14:paraId="6BCA4523" w14:textId="77777777" w:rsidR="00D303F9" w:rsidRPr="00F539E5" w:rsidRDefault="00D303F9" w:rsidP="00D303F9">
      <w:pPr>
        <w:spacing w:after="120"/>
      </w:pPr>
    </w:p>
    <w:p w14:paraId="49CB2D9A" w14:textId="77777777" w:rsidR="00D303F9" w:rsidRPr="00F539E5" w:rsidRDefault="00D303F9" w:rsidP="00D303F9">
      <w:pPr>
        <w:spacing w:after="120"/>
      </w:pPr>
    </w:p>
    <w:p w14:paraId="12A1375A" w14:textId="77777777" w:rsidR="00D303F9" w:rsidRPr="00F539E5" w:rsidRDefault="00D303F9" w:rsidP="00D303F9"/>
    <w:p w14:paraId="4DD53955" w14:textId="77777777" w:rsidR="00D303F9" w:rsidRPr="00F539E5" w:rsidRDefault="00D303F9" w:rsidP="00D303F9"/>
    <w:p w14:paraId="08055038" w14:textId="77777777" w:rsidR="006C4C49" w:rsidRDefault="006C4C49"/>
    <w:sectPr w:rsidR="006C4C49" w:rsidSect="00D303F9">
      <w:pgSz w:w="12240" w:h="15840"/>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éanie CAMBREZY" w:date="2016-10-26T17:11:00Z" w:initials="MC">
    <w:p w14:paraId="7C3E00C8" w14:textId="531EA32E" w:rsidR="00DA6940" w:rsidRDefault="00DA6940">
      <w:pPr>
        <w:pStyle w:val="Commentaire"/>
      </w:pPr>
      <w:r>
        <w:rPr>
          <w:rStyle w:val="Marquedecommentaire"/>
        </w:rPr>
        <w:annotationRef/>
      </w:r>
      <w:r>
        <w:t>A disc</w:t>
      </w:r>
    </w:p>
  </w:comment>
  <w:comment w:id="1" w:author="Méanie CAMBREZY" w:date="2016-10-26T17:12:00Z" w:initials="MC">
    <w:p w14:paraId="151D9D0B" w14:textId="5E51E358" w:rsidR="00DA6940" w:rsidRDefault="00DA6940">
      <w:pPr>
        <w:pStyle w:val="Commentaire"/>
      </w:pPr>
      <w:r>
        <w:rPr>
          <w:rStyle w:val="Marquedecommentaire"/>
        </w:rPr>
        <w:annotationRef/>
      </w:r>
      <w:r>
        <w:t>A discuter avec FM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AC495" w14:textId="77777777" w:rsidR="001176A2" w:rsidRDefault="001176A2" w:rsidP="00D303F9">
      <w:pPr>
        <w:spacing w:after="0" w:line="240" w:lineRule="auto"/>
      </w:pPr>
      <w:r>
        <w:separator/>
      </w:r>
    </w:p>
  </w:endnote>
  <w:endnote w:type="continuationSeparator" w:id="0">
    <w:p w14:paraId="2A286990" w14:textId="77777777" w:rsidR="001176A2" w:rsidRDefault="001176A2" w:rsidP="00D3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79"/>
      <w:gridCol w:w="1031"/>
    </w:tblGrid>
    <w:tr w:rsidR="00DA6940" w14:paraId="3A2B0089" w14:textId="77777777" w:rsidTr="00F6008B">
      <w:tc>
        <w:tcPr>
          <w:tcW w:w="4500" w:type="pct"/>
          <w:tcBorders>
            <w:top w:val="single" w:sz="4" w:space="0" w:color="000000" w:themeColor="text1"/>
          </w:tcBorders>
        </w:tcPr>
        <w:p w14:paraId="3189FD7F" w14:textId="40EE1CBB" w:rsidR="00DA6940" w:rsidRDefault="001176A2" w:rsidP="00F6008B">
          <w:pPr>
            <w:pStyle w:val="Pieddepage"/>
            <w:jc w:val="right"/>
          </w:pPr>
          <w:sdt>
            <w:sdtPr>
              <w:alias w:val="Société"/>
              <w:id w:val="1393392400"/>
              <w:dataBinding w:prefixMappings="xmlns:ns0='http://schemas.openxmlformats.org/officeDocument/2006/extended-properties'" w:xpath="/ns0:Properties[1]/ns0:Company[1]" w:storeItemID="{6668398D-A668-4E3E-A5EB-62B293D839F1}"/>
              <w:text/>
            </w:sdtPr>
            <w:sdtEndPr/>
            <w:sdtContent>
              <w:r w:rsidR="00DA6940">
                <w:t>Université de Montréal</w:t>
              </w:r>
            </w:sdtContent>
          </w:sdt>
          <w:r w:rsidR="00DA6940">
            <w:rPr>
              <w:lang w:val="fr-FR"/>
            </w:rPr>
            <w:t xml:space="preserve"> | </w:t>
          </w:r>
          <w:r w:rsidR="00DA6940">
            <w:t xml:space="preserve">Rapport d’activités 2015-2016 CÉRIUM      </w:t>
          </w:r>
        </w:p>
      </w:tc>
      <w:tc>
        <w:tcPr>
          <w:tcW w:w="500" w:type="pct"/>
          <w:tcBorders>
            <w:top w:val="single" w:sz="4" w:space="0" w:color="C0504D" w:themeColor="accent2"/>
          </w:tcBorders>
          <w:shd w:val="clear" w:color="auto" w:fill="943634" w:themeFill="accent2" w:themeFillShade="BF"/>
        </w:tcPr>
        <w:p w14:paraId="15CED0C0" w14:textId="77777777" w:rsidR="00DA6940" w:rsidRDefault="00DA6940" w:rsidP="00F6008B">
          <w:pPr>
            <w:pStyle w:val="En-tte"/>
            <w:rPr>
              <w:color w:val="FFFFFF" w:themeColor="background1"/>
            </w:rPr>
          </w:pPr>
          <w:r>
            <w:fldChar w:fldCharType="begin"/>
          </w:r>
          <w:r>
            <w:instrText>PAGE   \* MERGEFORMAT</w:instrText>
          </w:r>
          <w:r>
            <w:fldChar w:fldCharType="separate"/>
          </w:r>
          <w:r w:rsidR="00FA7A15" w:rsidRPr="00FA7A15">
            <w:rPr>
              <w:noProof/>
              <w:color w:val="FFFFFF" w:themeColor="background1"/>
              <w:lang w:val="fr-FR"/>
            </w:rPr>
            <w:t>1</w:t>
          </w:r>
          <w:r>
            <w:rPr>
              <w:color w:val="FFFFFF" w:themeColor="background1"/>
            </w:rPr>
            <w:fldChar w:fldCharType="end"/>
          </w:r>
        </w:p>
      </w:tc>
    </w:tr>
  </w:tbl>
  <w:p w14:paraId="1EC056BF" w14:textId="77777777" w:rsidR="00DA6940" w:rsidRPr="00D303F9" w:rsidRDefault="00DA6940" w:rsidP="00D303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79"/>
      <w:gridCol w:w="1031"/>
    </w:tblGrid>
    <w:tr w:rsidR="00DA6940" w14:paraId="2814EE84" w14:textId="77777777" w:rsidTr="00F6008B">
      <w:tc>
        <w:tcPr>
          <w:tcW w:w="4500" w:type="pct"/>
          <w:tcBorders>
            <w:top w:val="single" w:sz="4" w:space="0" w:color="000000" w:themeColor="text1"/>
          </w:tcBorders>
        </w:tcPr>
        <w:p w14:paraId="397CE3FA" w14:textId="3D5A6393" w:rsidR="00DA6940" w:rsidRDefault="001176A2" w:rsidP="00F6008B">
          <w:pPr>
            <w:pStyle w:val="Pieddepage"/>
            <w:jc w:val="right"/>
          </w:pPr>
          <w:sdt>
            <w:sdtPr>
              <w:alias w:val="Société"/>
              <w:id w:val="1821995999"/>
              <w:dataBinding w:prefixMappings="xmlns:ns0='http://schemas.openxmlformats.org/officeDocument/2006/extended-properties'" w:xpath="/ns0:Properties[1]/ns0:Company[1]" w:storeItemID="{6668398D-A668-4E3E-A5EB-62B293D839F1}"/>
              <w:text/>
            </w:sdtPr>
            <w:sdtEndPr/>
            <w:sdtContent>
              <w:r w:rsidR="00DA6940">
                <w:t>Université de Montréal</w:t>
              </w:r>
            </w:sdtContent>
          </w:sdt>
          <w:r w:rsidR="00DA6940">
            <w:rPr>
              <w:lang w:val="fr-FR"/>
            </w:rPr>
            <w:t xml:space="preserve"> | </w:t>
          </w:r>
          <w:r w:rsidR="00DA6940">
            <w:t xml:space="preserve">Rapport d’activité 2015-2016 CÉRIUM      </w:t>
          </w:r>
        </w:p>
      </w:tc>
      <w:tc>
        <w:tcPr>
          <w:tcW w:w="500" w:type="pct"/>
          <w:tcBorders>
            <w:top w:val="single" w:sz="4" w:space="0" w:color="C0504D" w:themeColor="accent2"/>
          </w:tcBorders>
          <w:shd w:val="clear" w:color="auto" w:fill="943634" w:themeFill="accent2" w:themeFillShade="BF"/>
        </w:tcPr>
        <w:p w14:paraId="0742C890" w14:textId="77777777" w:rsidR="00DA6940" w:rsidRDefault="00DA6940" w:rsidP="00F6008B">
          <w:pPr>
            <w:pStyle w:val="En-tte"/>
            <w:rPr>
              <w:color w:val="FFFFFF" w:themeColor="background1"/>
            </w:rPr>
          </w:pPr>
          <w:r>
            <w:fldChar w:fldCharType="begin"/>
          </w:r>
          <w:r>
            <w:instrText>PAGE   \* MERGEFORMAT</w:instrText>
          </w:r>
          <w:r>
            <w:fldChar w:fldCharType="separate"/>
          </w:r>
          <w:r w:rsidR="005B39C0" w:rsidRPr="005B39C0">
            <w:rPr>
              <w:noProof/>
              <w:color w:val="FFFFFF" w:themeColor="background1"/>
              <w:lang w:val="fr-FR"/>
            </w:rPr>
            <w:t>10</w:t>
          </w:r>
          <w:r>
            <w:rPr>
              <w:color w:val="FFFFFF" w:themeColor="background1"/>
            </w:rPr>
            <w:fldChar w:fldCharType="end"/>
          </w:r>
        </w:p>
      </w:tc>
    </w:tr>
  </w:tbl>
  <w:p w14:paraId="460F0C41" w14:textId="77777777" w:rsidR="00DA6940" w:rsidRDefault="00DA69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BB18A" w14:textId="77777777" w:rsidR="001176A2" w:rsidRDefault="001176A2" w:rsidP="00D303F9">
      <w:pPr>
        <w:spacing w:after="0" w:line="240" w:lineRule="auto"/>
      </w:pPr>
      <w:r>
        <w:separator/>
      </w:r>
    </w:p>
  </w:footnote>
  <w:footnote w:type="continuationSeparator" w:id="0">
    <w:p w14:paraId="2FD488B8" w14:textId="77777777" w:rsidR="001176A2" w:rsidRDefault="001176A2" w:rsidP="00D30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36236" w14:textId="77777777" w:rsidR="00DA6940" w:rsidRDefault="00DA6940">
    <w:pPr>
      <w:pStyle w:val="En-tte"/>
    </w:pPr>
    <w:r>
      <w:rPr>
        <w:noProof/>
        <w:lang w:eastAsia="fr-CA"/>
      </w:rPr>
      <w:drawing>
        <wp:anchor distT="0" distB="0" distL="114300" distR="114300" simplePos="0" relativeHeight="251661312" behindDoc="0" locked="0" layoutInCell="1" allowOverlap="1" wp14:anchorId="23780B57" wp14:editId="4F57D99A">
          <wp:simplePos x="0" y="0"/>
          <wp:positionH relativeFrom="margin">
            <wp:posOffset>-2299970</wp:posOffset>
          </wp:positionH>
          <wp:positionV relativeFrom="margin">
            <wp:posOffset>-920750</wp:posOffset>
          </wp:positionV>
          <wp:extent cx="10314940" cy="96139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494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C6A2" w14:textId="77777777" w:rsidR="00DA6940" w:rsidRDefault="00DA6940">
    <w:pPr>
      <w:pStyle w:val="En-tte"/>
    </w:pPr>
    <w:r>
      <w:rPr>
        <w:noProof/>
        <w:lang w:eastAsia="fr-CA"/>
      </w:rPr>
      <w:drawing>
        <wp:anchor distT="0" distB="0" distL="114300" distR="114300" simplePos="0" relativeHeight="251663360" behindDoc="0" locked="0" layoutInCell="1" allowOverlap="1" wp14:anchorId="7843D058" wp14:editId="5C9CB348">
          <wp:simplePos x="0" y="0"/>
          <wp:positionH relativeFrom="margin">
            <wp:posOffset>-2255520</wp:posOffset>
          </wp:positionH>
          <wp:positionV relativeFrom="margin">
            <wp:posOffset>-908050</wp:posOffset>
          </wp:positionV>
          <wp:extent cx="10314940" cy="96139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494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C532D"/>
    <w:multiLevelType w:val="hybridMultilevel"/>
    <w:tmpl w:val="48ECE07C"/>
    <w:lvl w:ilvl="0" w:tplc="D9A053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F716CD"/>
    <w:multiLevelType w:val="hybridMultilevel"/>
    <w:tmpl w:val="E9D4F632"/>
    <w:lvl w:ilvl="0" w:tplc="D6BA53A2">
      <w:numFmt w:val="bullet"/>
      <w:lvlText w:val="-"/>
      <w:lvlJc w:val="left"/>
      <w:pPr>
        <w:ind w:left="720" w:hanging="360"/>
      </w:pPr>
      <w:rPr>
        <w:rFonts w:ascii="Calibri" w:eastAsia="MS Mincho"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F9"/>
    <w:rsid w:val="00043EAD"/>
    <w:rsid w:val="000542D5"/>
    <w:rsid w:val="000D0B7A"/>
    <w:rsid w:val="000F1B78"/>
    <w:rsid w:val="000F3731"/>
    <w:rsid w:val="001176A2"/>
    <w:rsid w:val="00166E7C"/>
    <w:rsid w:val="00186B7C"/>
    <w:rsid w:val="001C491E"/>
    <w:rsid w:val="001C5DA4"/>
    <w:rsid w:val="001D607D"/>
    <w:rsid w:val="001E2868"/>
    <w:rsid w:val="0020090D"/>
    <w:rsid w:val="0022070B"/>
    <w:rsid w:val="0025206F"/>
    <w:rsid w:val="00265B89"/>
    <w:rsid w:val="00297197"/>
    <w:rsid w:val="00297854"/>
    <w:rsid w:val="002B2026"/>
    <w:rsid w:val="002E52D6"/>
    <w:rsid w:val="002F293A"/>
    <w:rsid w:val="002F31EF"/>
    <w:rsid w:val="003345FB"/>
    <w:rsid w:val="00347F35"/>
    <w:rsid w:val="003508FA"/>
    <w:rsid w:val="003E1190"/>
    <w:rsid w:val="003E5340"/>
    <w:rsid w:val="003F208A"/>
    <w:rsid w:val="00465317"/>
    <w:rsid w:val="00483285"/>
    <w:rsid w:val="004A687D"/>
    <w:rsid w:val="004B01A2"/>
    <w:rsid w:val="004B578C"/>
    <w:rsid w:val="004E0AA8"/>
    <w:rsid w:val="00576FD8"/>
    <w:rsid w:val="00593230"/>
    <w:rsid w:val="005968FE"/>
    <w:rsid w:val="005B39C0"/>
    <w:rsid w:val="005C51B7"/>
    <w:rsid w:val="005C6FC6"/>
    <w:rsid w:val="00665794"/>
    <w:rsid w:val="0067366B"/>
    <w:rsid w:val="006A234E"/>
    <w:rsid w:val="006C2EC7"/>
    <w:rsid w:val="006C3AC6"/>
    <w:rsid w:val="006C4C49"/>
    <w:rsid w:val="006E5A9F"/>
    <w:rsid w:val="006F1A8A"/>
    <w:rsid w:val="00707149"/>
    <w:rsid w:val="0071123F"/>
    <w:rsid w:val="00716038"/>
    <w:rsid w:val="00734166"/>
    <w:rsid w:val="00741CEC"/>
    <w:rsid w:val="00745D7C"/>
    <w:rsid w:val="007725EC"/>
    <w:rsid w:val="007746B8"/>
    <w:rsid w:val="00817677"/>
    <w:rsid w:val="00821CB6"/>
    <w:rsid w:val="0082474B"/>
    <w:rsid w:val="00846D32"/>
    <w:rsid w:val="008747EC"/>
    <w:rsid w:val="00877B40"/>
    <w:rsid w:val="008976B6"/>
    <w:rsid w:val="008A3AD6"/>
    <w:rsid w:val="008A519F"/>
    <w:rsid w:val="008B32BD"/>
    <w:rsid w:val="008E799A"/>
    <w:rsid w:val="00921CCB"/>
    <w:rsid w:val="00966B7B"/>
    <w:rsid w:val="00966C5F"/>
    <w:rsid w:val="00976BDA"/>
    <w:rsid w:val="00995731"/>
    <w:rsid w:val="009A4D23"/>
    <w:rsid w:val="009B447A"/>
    <w:rsid w:val="009B4B0F"/>
    <w:rsid w:val="009D6008"/>
    <w:rsid w:val="009F7E71"/>
    <w:rsid w:val="00A0155F"/>
    <w:rsid w:val="00A22214"/>
    <w:rsid w:val="00A46681"/>
    <w:rsid w:val="00A50421"/>
    <w:rsid w:val="00A7684A"/>
    <w:rsid w:val="00A77AD2"/>
    <w:rsid w:val="00AE2A34"/>
    <w:rsid w:val="00AF1420"/>
    <w:rsid w:val="00AF2FE8"/>
    <w:rsid w:val="00B038E4"/>
    <w:rsid w:val="00B06BC1"/>
    <w:rsid w:val="00B362FF"/>
    <w:rsid w:val="00B767B5"/>
    <w:rsid w:val="00B8110A"/>
    <w:rsid w:val="00B91B7D"/>
    <w:rsid w:val="00BF3C39"/>
    <w:rsid w:val="00BF5E59"/>
    <w:rsid w:val="00C1601A"/>
    <w:rsid w:val="00C26090"/>
    <w:rsid w:val="00C33F2B"/>
    <w:rsid w:val="00C60403"/>
    <w:rsid w:val="00C6400F"/>
    <w:rsid w:val="00C862F1"/>
    <w:rsid w:val="00D114B9"/>
    <w:rsid w:val="00D303F9"/>
    <w:rsid w:val="00D56447"/>
    <w:rsid w:val="00D74BCA"/>
    <w:rsid w:val="00D87D64"/>
    <w:rsid w:val="00D95E23"/>
    <w:rsid w:val="00DA6940"/>
    <w:rsid w:val="00DC6E1D"/>
    <w:rsid w:val="00DD6B61"/>
    <w:rsid w:val="00DF4F07"/>
    <w:rsid w:val="00DF529E"/>
    <w:rsid w:val="00DF7487"/>
    <w:rsid w:val="00E02290"/>
    <w:rsid w:val="00E111DE"/>
    <w:rsid w:val="00E15D88"/>
    <w:rsid w:val="00E322E3"/>
    <w:rsid w:val="00E3617D"/>
    <w:rsid w:val="00E62E58"/>
    <w:rsid w:val="00E77566"/>
    <w:rsid w:val="00E824A3"/>
    <w:rsid w:val="00E8547B"/>
    <w:rsid w:val="00E90932"/>
    <w:rsid w:val="00EA3A49"/>
    <w:rsid w:val="00EA5387"/>
    <w:rsid w:val="00EC7531"/>
    <w:rsid w:val="00ED169C"/>
    <w:rsid w:val="00EE34A5"/>
    <w:rsid w:val="00EF756B"/>
    <w:rsid w:val="00F10BE4"/>
    <w:rsid w:val="00F35D59"/>
    <w:rsid w:val="00F515CF"/>
    <w:rsid w:val="00F51EE4"/>
    <w:rsid w:val="00F6008B"/>
    <w:rsid w:val="00F63C10"/>
    <w:rsid w:val="00FA3908"/>
    <w:rsid w:val="00FA7A15"/>
    <w:rsid w:val="00FB0907"/>
    <w:rsid w:val="00FF09E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F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F9"/>
  </w:style>
  <w:style w:type="paragraph" w:styleId="Titre1">
    <w:name w:val="heading 1"/>
    <w:basedOn w:val="Normal"/>
    <w:next w:val="Normal"/>
    <w:link w:val="Titre1Car"/>
    <w:uiPriority w:val="9"/>
    <w:qFormat/>
    <w:rsid w:val="00C1601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D303F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03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03F9"/>
    <w:rPr>
      <w:rFonts w:ascii="Tahoma" w:hAnsi="Tahoma" w:cs="Tahoma"/>
      <w:sz w:val="16"/>
      <w:szCs w:val="16"/>
    </w:rPr>
  </w:style>
  <w:style w:type="character" w:customStyle="1" w:styleId="Titre2Car">
    <w:name w:val="Titre 2 Car"/>
    <w:basedOn w:val="Policepardfaut"/>
    <w:link w:val="Titre2"/>
    <w:uiPriority w:val="9"/>
    <w:rsid w:val="00D303F9"/>
    <w:rPr>
      <w:rFonts w:ascii="Times New Roman" w:eastAsia="Times New Roman" w:hAnsi="Times New Roman" w:cs="Times New Roman"/>
      <w:b/>
      <w:bCs/>
      <w:sz w:val="36"/>
      <w:szCs w:val="36"/>
      <w:lang w:eastAsia="fr-CA"/>
    </w:rPr>
  </w:style>
  <w:style w:type="paragraph" w:styleId="En-tte">
    <w:name w:val="header"/>
    <w:basedOn w:val="Normal"/>
    <w:link w:val="En-tteCar"/>
    <w:uiPriority w:val="99"/>
    <w:unhideWhenUsed/>
    <w:rsid w:val="00D303F9"/>
    <w:pPr>
      <w:tabs>
        <w:tab w:val="center" w:pos="4320"/>
        <w:tab w:val="right" w:pos="8640"/>
      </w:tabs>
      <w:spacing w:after="0" w:line="240" w:lineRule="auto"/>
    </w:pPr>
  </w:style>
  <w:style w:type="character" w:customStyle="1" w:styleId="En-tteCar">
    <w:name w:val="En-tête Car"/>
    <w:basedOn w:val="Policepardfaut"/>
    <w:link w:val="En-tte"/>
    <w:uiPriority w:val="99"/>
    <w:rsid w:val="00D303F9"/>
  </w:style>
  <w:style w:type="paragraph" w:styleId="Pieddepage">
    <w:name w:val="footer"/>
    <w:basedOn w:val="Normal"/>
    <w:link w:val="PieddepageCar"/>
    <w:uiPriority w:val="99"/>
    <w:unhideWhenUsed/>
    <w:rsid w:val="00D303F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303F9"/>
  </w:style>
  <w:style w:type="paragraph" w:customStyle="1" w:styleId="c">
    <w:name w:val="c"/>
    <w:basedOn w:val="Normal"/>
    <w:rsid w:val="00D303F9"/>
    <w:pPr>
      <w:spacing w:after="120" w:line="240" w:lineRule="auto"/>
      <w:jc w:val="both"/>
    </w:pPr>
    <w:rPr>
      <w:rFonts w:asciiTheme="majorHAnsi" w:eastAsiaTheme="minorEastAsia" w:hAnsiTheme="majorHAnsi"/>
      <w:sz w:val="24"/>
      <w:szCs w:val="24"/>
      <w:lang w:eastAsia="ja-JP"/>
    </w:rPr>
  </w:style>
  <w:style w:type="character" w:styleId="Lienhypertexte">
    <w:name w:val="Hyperlink"/>
    <w:basedOn w:val="Policepardfaut"/>
    <w:uiPriority w:val="99"/>
    <w:unhideWhenUsed/>
    <w:rsid w:val="00D303F9"/>
    <w:rPr>
      <w:strike w:val="0"/>
      <w:dstrike w:val="0"/>
      <w:color w:val="2B99E5"/>
      <w:u w:val="none"/>
      <w:effect w:val="none"/>
    </w:rPr>
  </w:style>
  <w:style w:type="paragraph" w:styleId="Paragraphedeliste">
    <w:name w:val="List Paragraph"/>
    <w:basedOn w:val="Normal"/>
    <w:uiPriority w:val="34"/>
    <w:qFormat/>
    <w:rsid w:val="00D303F9"/>
    <w:pPr>
      <w:ind w:left="720"/>
      <w:contextualSpacing/>
    </w:pPr>
  </w:style>
  <w:style w:type="character" w:styleId="Lienhypertextesuivivisit">
    <w:name w:val="FollowedHyperlink"/>
    <w:basedOn w:val="Policepardfaut"/>
    <w:uiPriority w:val="99"/>
    <w:semiHidden/>
    <w:unhideWhenUsed/>
    <w:rsid w:val="006A234E"/>
    <w:rPr>
      <w:color w:val="800080" w:themeColor="followedHyperlink"/>
      <w:u w:val="single"/>
    </w:rPr>
  </w:style>
  <w:style w:type="character" w:styleId="Marquedecommentaire">
    <w:name w:val="annotation reference"/>
    <w:basedOn w:val="Policepardfaut"/>
    <w:uiPriority w:val="99"/>
    <w:semiHidden/>
    <w:unhideWhenUsed/>
    <w:rsid w:val="001E2868"/>
    <w:rPr>
      <w:sz w:val="18"/>
      <w:szCs w:val="18"/>
    </w:rPr>
  </w:style>
  <w:style w:type="paragraph" w:styleId="Commentaire">
    <w:name w:val="annotation text"/>
    <w:basedOn w:val="Normal"/>
    <w:link w:val="CommentaireCar"/>
    <w:uiPriority w:val="99"/>
    <w:semiHidden/>
    <w:unhideWhenUsed/>
    <w:rsid w:val="001E2868"/>
    <w:pPr>
      <w:spacing w:line="240" w:lineRule="auto"/>
    </w:pPr>
    <w:rPr>
      <w:sz w:val="24"/>
      <w:szCs w:val="24"/>
    </w:rPr>
  </w:style>
  <w:style w:type="character" w:customStyle="1" w:styleId="CommentaireCar">
    <w:name w:val="Commentaire Car"/>
    <w:basedOn w:val="Policepardfaut"/>
    <w:link w:val="Commentaire"/>
    <w:uiPriority w:val="99"/>
    <w:semiHidden/>
    <w:rsid w:val="001E2868"/>
    <w:rPr>
      <w:sz w:val="24"/>
      <w:szCs w:val="24"/>
    </w:rPr>
  </w:style>
  <w:style w:type="paragraph" w:styleId="Objetducommentaire">
    <w:name w:val="annotation subject"/>
    <w:basedOn w:val="Commentaire"/>
    <w:next w:val="Commentaire"/>
    <w:link w:val="ObjetducommentaireCar"/>
    <w:uiPriority w:val="99"/>
    <w:semiHidden/>
    <w:unhideWhenUsed/>
    <w:rsid w:val="001E2868"/>
    <w:rPr>
      <w:b/>
      <w:bCs/>
      <w:sz w:val="20"/>
      <w:szCs w:val="20"/>
    </w:rPr>
  </w:style>
  <w:style w:type="character" w:customStyle="1" w:styleId="ObjetducommentaireCar">
    <w:name w:val="Objet du commentaire Car"/>
    <w:basedOn w:val="CommentaireCar"/>
    <w:link w:val="Objetducommentaire"/>
    <w:uiPriority w:val="99"/>
    <w:semiHidden/>
    <w:rsid w:val="001E2868"/>
    <w:rPr>
      <w:b/>
      <w:bCs/>
      <w:sz w:val="20"/>
      <w:szCs w:val="20"/>
    </w:rPr>
  </w:style>
  <w:style w:type="paragraph" w:styleId="Rvision">
    <w:name w:val="Revision"/>
    <w:hidden/>
    <w:uiPriority w:val="99"/>
    <w:semiHidden/>
    <w:rsid w:val="00B06BC1"/>
    <w:pPr>
      <w:spacing w:after="0" w:line="240" w:lineRule="auto"/>
    </w:pPr>
  </w:style>
  <w:style w:type="character" w:customStyle="1" w:styleId="apple-converted-space">
    <w:name w:val="apple-converted-space"/>
    <w:basedOn w:val="Policepardfaut"/>
    <w:rsid w:val="000F1B78"/>
  </w:style>
  <w:style w:type="character" w:customStyle="1" w:styleId="Titre1Car">
    <w:name w:val="Titre 1 Car"/>
    <w:basedOn w:val="Policepardfaut"/>
    <w:link w:val="Titre1"/>
    <w:uiPriority w:val="9"/>
    <w:rsid w:val="00C1601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F9"/>
  </w:style>
  <w:style w:type="paragraph" w:styleId="Titre1">
    <w:name w:val="heading 1"/>
    <w:basedOn w:val="Normal"/>
    <w:next w:val="Normal"/>
    <w:link w:val="Titre1Car"/>
    <w:uiPriority w:val="9"/>
    <w:qFormat/>
    <w:rsid w:val="00C1601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D303F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03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03F9"/>
    <w:rPr>
      <w:rFonts w:ascii="Tahoma" w:hAnsi="Tahoma" w:cs="Tahoma"/>
      <w:sz w:val="16"/>
      <w:szCs w:val="16"/>
    </w:rPr>
  </w:style>
  <w:style w:type="character" w:customStyle="1" w:styleId="Titre2Car">
    <w:name w:val="Titre 2 Car"/>
    <w:basedOn w:val="Policepardfaut"/>
    <w:link w:val="Titre2"/>
    <w:uiPriority w:val="9"/>
    <w:rsid w:val="00D303F9"/>
    <w:rPr>
      <w:rFonts w:ascii="Times New Roman" w:eastAsia="Times New Roman" w:hAnsi="Times New Roman" w:cs="Times New Roman"/>
      <w:b/>
      <w:bCs/>
      <w:sz w:val="36"/>
      <w:szCs w:val="36"/>
      <w:lang w:eastAsia="fr-CA"/>
    </w:rPr>
  </w:style>
  <w:style w:type="paragraph" w:styleId="En-tte">
    <w:name w:val="header"/>
    <w:basedOn w:val="Normal"/>
    <w:link w:val="En-tteCar"/>
    <w:uiPriority w:val="99"/>
    <w:unhideWhenUsed/>
    <w:rsid w:val="00D303F9"/>
    <w:pPr>
      <w:tabs>
        <w:tab w:val="center" w:pos="4320"/>
        <w:tab w:val="right" w:pos="8640"/>
      </w:tabs>
      <w:spacing w:after="0" w:line="240" w:lineRule="auto"/>
    </w:pPr>
  </w:style>
  <w:style w:type="character" w:customStyle="1" w:styleId="En-tteCar">
    <w:name w:val="En-tête Car"/>
    <w:basedOn w:val="Policepardfaut"/>
    <w:link w:val="En-tte"/>
    <w:uiPriority w:val="99"/>
    <w:rsid w:val="00D303F9"/>
  </w:style>
  <w:style w:type="paragraph" w:styleId="Pieddepage">
    <w:name w:val="footer"/>
    <w:basedOn w:val="Normal"/>
    <w:link w:val="PieddepageCar"/>
    <w:uiPriority w:val="99"/>
    <w:unhideWhenUsed/>
    <w:rsid w:val="00D303F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303F9"/>
  </w:style>
  <w:style w:type="paragraph" w:customStyle="1" w:styleId="c">
    <w:name w:val="c"/>
    <w:basedOn w:val="Normal"/>
    <w:rsid w:val="00D303F9"/>
    <w:pPr>
      <w:spacing w:after="120" w:line="240" w:lineRule="auto"/>
      <w:jc w:val="both"/>
    </w:pPr>
    <w:rPr>
      <w:rFonts w:asciiTheme="majorHAnsi" w:eastAsiaTheme="minorEastAsia" w:hAnsiTheme="majorHAnsi"/>
      <w:sz w:val="24"/>
      <w:szCs w:val="24"/>
      <w:lang w:eastAsia="ja-JP"/>
    </w:rPr>
  </w:style>
  <w:style w:type="character" w:styleId="Lienhypertexte">
    <w:name w:val="Hyperlink"/>
    <w:basedOn w:val="Policepardfaut"/>
    <w:uiPriority w:val="99"/>
    <w:unhideWhenUsed/>
    <w:rsid w:val="00D303F9"/>
    <w:rPr>
      <w:strike w:val="0"/>
      <w:dstrike w:val="0"/>
      <w:color w:val="2B99E5"/>
      <w:u w:val="none"/>
      <w:effect w:val="none"/>
    </w:rPr>
  </w:style>
  <w:style w:type="paragraph" w:styleId="Paragraphedeliste">
    <w:name w:val="List Paragraph"/>
    <w:basedOn w:val="Normal"/>
    <w:uiPriority w:val="34"/>
    <w:qFormat/>
    <w:rsid w:val="00D303F9"/>
    <w:pPr>
      <w:ind w:left="720"/>
      <w:contextualSpacing/>
    </w:pPr>
  </w:style>
  <w:style w:type="character" w:styleId="Lienhypertextesuivivisit">
    <w:name w:val="FollowedHyperlink"/>
    <w:basedOn w:val="Policepardfaut"/>
    <w:uiPriority w:val="99"/>
    <w:semiHidden/>
    <w:unhideWhenUsed/>
    <w:rsid w:val="006A234E"/>
    <w:rPr>
      <w:color w:val="800080" w:themeColor="followedHyperlink"/>
      <w:u w:val="single"/>
    </w:rPr>
  </w:style>
  <w:style w:type="character" w:styleId="Marquedecommentaire">
    <w:name w:val="annotation reference"/>
    <w:basedOn w:val="Policepardfaut"/>
    <w:uiPriority w:val="99"/>
    <w:semiHidden/>
    <w:unhideWhenUsed/>
    <w:rsid w:val="001E2868"/>
    <w:rPr>
      <w:sz w:val="18"/>
      <w:szCs w:val="18"/>
    </w:rPr>
  </w:style>
  <w:style w:type="paragraph" w:styleId="Commentaire">
    <w:name w:val="annotation text"/>
    <w:basedOn w:val="Normal"/>
    <w:link w:val="CommentaireCar"/>
    <w:uiPriority w:val="99"/>
    <w:semiHidden/>
    <w:unhideWhenUsed/>
    <w:rsid w:val="001E2868"/>
    <w:pPr>
      <w:spacing w:line="240" w:lineRule="auto"/>
    </w:pPr>
    <w:rPr>
      <w:sz w:val="24"/>
      <w:szCs w:val="24"/>
    </w:rPr>
  </w:style>
  <w:style w:type="character" w:customStyle="1" w:styleId="CommentaireCar">
    <w:name w:val="Commentaire Car"/>
    <w:basedOn w:val="Policepardfaut"/>
    <w:link w:val="Commentaire"/>
    <w:uiPriority w:val="99"/>
    <w:semiHidden/>
    <w:rsid w:val="001E2868"/>
    <w:rPr>
      <w:sz w:val="24"/>
      <w:szCs w:val="24"/>
    </w:rPr>
  </w:style>
  <w:style w:type="paragraph" w:styleId="Objetducommentaire">
    <w:name w:val="annotation subject"/>
    <w:basedOn w:val="Commentaire"/>
    <w:next w:val="Commentaire"/>
    <w:link w:val="ObjetducommentaireCar"/>
    <w:uiPriority w:val="99"/>
    <w:semiHidden/>
    <w:unhideWhenUsed/>
    <w:rsid w:val="001E2868"/>
    <w:rPr>
      <w:b/>
      <w:bCs/>
      <w:sz w:val="20"/>
      <w:szCs w:val="20"/>
    </w:rPr>
  </w:style>
  <w:style w:type="character" w:customStyle="1" w:styleId="ObjetducommentaireCar">
    <w:name w:val="Objet du commentaire Car"/>
    <w:basedOn w:val="CommentaireCar"/>
    <w:link w:val="Objetducommentaire"/>
    <w:uiPriority w:val="99"/>
    <w:semiHidden/>
    <w:rsid w:val="001E2868"/>
    <w:rPr>
      <w:b/>
      <w:bCs/>
      <w:sz w:val="20"/>
      <w:szCs w:val="20"/>
    </w:rPr>
  </w:style>
  <w:style w:type="paragraph" w:styleId="Rvision">
    <w:name w:val="Revision"/>
    <w:hidden/>
    <w:uiPriority w:val="99"/>
    <w:semiHidden/>
    <w:rsid w:val="00B06BC1"/>
    <w:pPr>
      <w:spacing w:after="0" w:line="240" w:lineRule="auto"/>
    </w:pPr>
  </w:style>
  <w:style w:type="character" w:customStyle="1" w:styleId="apple-converted-space">
    <w:name w:val="apple-converted-space"/>
    <w:basedOn w:val="Policepardfaut"/>
    <w:rsid w:val="000F1B78"/>
  </w:style>
  <w:style w:type="character" w:customStyle="1" w:styleId="Titre1Car">
    <w:name w:val="Titre 1 Car"/>
    <w:basedOn w:val="Policepardfaut"/>
    <w:link w:val="Titre1"/>
    <w:uiPriority w:val="9"/>
    <w:rsid w:val="00C1601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9130">
      <w:bodyDiv w:val="1"/>
      <w:marLeft w:val="0"/>
      <w:marRight w:val="0"/>
      <w:marTop w:val="0"/>
      <w:marBottom w:val="0"/>
      <w:divBdr>
        <w:top w:val="none" w:sz="0" w:space="0" w:color="auto"/>
        <w:left w:val="none" w:sz="0" w:space="0" w:color="auto"/>
        <w:bottom w:val="none" w:sz="0" w:space="0" w:color="auto"/>
        <w:right w:val="none" w:sz="0" w:space="0" w:color="auto"/>
      </w:divBdr>
    </w:div>
    <w:div w:id="763495380">
      <w:bodyDiv w:val="1"/>
      <w:marLeft w:val="0"/>
      <w:marRight w:val="0"/>
      <w:marTop w:val="0"/>
      <w:marBottom w:val="0"/>
      <w:divBdr>
        <w:top w:val="none" w:sz="0" w:space="0" w:color="auto"/>
        <w:left w:val="none" w:sz="0" w:space="0" w:color="auto"/>
        <w:bottom w:val="none" w:sz="0" w:space="0" w:color="auto"/>
        <w:right w:val="none" w:sz="0" w:space="0" w:color="auto"/>
      </w:divBdr>
    </w:div>
    <w:div w:id="963971193">
      <w:bodyDiv w:val="1"/>
      <w:marLeft w:val="0"/>
      <w:marRight w:val="0"/>
      <w:marTop w:val="0"/>
      <w:marBottom w:val="0"/>
      <w:divBdr>
        <w:top w:val="none" w:sz="0" w:space="0" w:color="auto"/>
        <w:left w:val="none" w:sz="0" w:space="0" w:color="auto"/>
        <w:bottom w:val="none" w:sz="0" w:space="0" w:color="auto"/>
        <w:right w:val="none" w:sz="0" w:space="0" w:color="auto"/>
      </w:divBdr>
    </w:div>
    <w:div w:id="1176112999">
      <w:bodyDiv w:val="1"/>
      <w:marLeft w:val="0"/>
      <w:marRight w:val="0"/>
      <w:marTop w:val="0"/>
      <w:marBottom w:val="0"/>
      <w:divBdr>
        <w:top w:val="none" w:sz="0" w:space="0" w:color="auto"/>
        <w:left w:val="none" w:sz="0" w:space="0" w:color="auto"/>
        <w:bottom w:val="none" w:sz="0" w:space="0" w:color="auto"/>
        <w:right w:val="none" w:sz="0" w:space="0" w:color="auto"/>
      </w:divBdr>
    </w:div>
    <w:div w:id="1313677739">
      <w:bodyDiv w:val="1"/>
      <w:marLeft w:val="0"/>
      <w:marRight w:val="0"/>
      <w:marTop w:val="0"/>
      <w:marBottom w:val="0"/>
      <w:divBdr>
        <w:top w:val="none" w:sz="0" w:space="0" w:color="auto"/>
        <w:left w:val="none" w:sz="0" w:space="0" w:color="auto"/>
        <w:bottom w:val="none" w:sz="0" w:space="0" w:color="auto"/>
        <w:right w:val="none" w:sz="0" w:space="0" w:color="auto"/>
      </w:divBdr>
    </w:div>
    <w:div w:id="1398287724">
      <w:bodyDiv w:val="1"/>
      <w:marLeft w:val="0"/>
      <w:marRight w:val="0"/>
      <w:marTop w:val="0"/>
      <w:marBottom w:val="0"/>
      <w:divBdr>
        <w:top w:val="none" w:sz="0" w:space="0" w:color="auto"/>
        <w:left w:val="none" w:sz="0" w:space="0" w:color="auto"/>
        <w:bottom w:val="none" w:sz="0" w:space="0" w:color="auto"/>
        <w:right w:val="none" w:sz="0" w:space="0" w:color="auto"/>
      </w:divBdr>
    </w:div>
    <w:div w:id="1503157896">
      <w:bodyDiv w:val="1"/>
      <w:marLeft w:val="0"/>
      <w:marRight w:val="0"/>
      <w:marTop w:val="0"/>
      <w:marBottom w:val="0"/>
      <w:divBdr>
        <w:top w:val="none" w:sz="0" w:space="0" w:color="auto"/>
        <w:left w:val="none" w:sz="0" w:space="0" w:color="auto"/>
        <w:bottom w:val="none" w:sz="0" w:space="0" w:color="auto"/>
        <w:right w:val="none" w:sz="0" w:space="0" w:color="auto"/>
      </w:divBdr>
    </w:div>
    <w:div w:id="1787894415">
      <w:bodyDiv w:val="1"/>
      <w:marLeft w:val="0"/>
      <w:marRight w:val="0"/>
      <w:marTop w:val="0"/>
      <w:marBottom w:val="0"/>
      <w:divBdr>
        <w:top w:val="none" w:sz="0" w:space="0" w:color="auto"/>
        <w:left w:val="none" w:sz="0" w:space="0" w:color="auto"/>
        <w:bottom w:val="none" w:sz="0" w:space="0" w:color="auto"/>
        <w:right w:val="none" w:sz="0" w:space="0" w:color="auto"/>
      </w:divBdr>
    </w:div>
    <w:div w:id="18214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erium.umontreal.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centreurope-montreal.ca/" TargetMode="External"/><Relationship Id="rId2" Type="http://schemas.openxmlformats.org/officeDocument/2006/relationships/numbering" Target="numbering.xml"/><Relationship Id="rId16" Type="http://schemas.openxmlformats.org/officeDocument/2006/relationships/hyperlink" Target="http://cerium.umontreal.ca/recherche/unites-de-recherche/centre-dexcellence-sur-lunion-europeenne-ce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mailto:cerium@umontreal.c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13F7-DF36-4A61-96BD-45C40EE0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2502</Words>
  <Characters>13767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lepagena</dc:creator>
  <cp:lastModifiedBy>Utilisateur Windows</cp:lastModifiedBy>
  <cp:revision>5</cp:revision>
  <cp:lastPrinted>2016-01-11T16:41:00Z</cp:lastPrinted>
  <dcterms:created xsi:type="dcterms:W3CDTF">2016-10-31T20:50:00Z</dcterms:created>
  <dcterms:modified xsi:type="dcterms:W3CDTF">2016-10-31T21:12:00Z</dcterms:modified>
</cp:coreProperties>
</file>